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85D8B" w14:textId="5F7D18F3" w:rsidR="00FA756B" w:rsidRDefault="00FA756B" w:rsidP="00310335">
      <w:pPr>
        <w:tabs>
          <w:tab w:val="left" w:pos="709"/>
        </w:tabs>
        <w:spacing w:after="0" w:line="240" w:lineRule="auto"/>
        <w:jc w:val="center"/>
        <w:rPr>
          <w:rStyle w:val="s0"/>
          <w:color w:val="auto"/>
          <w:sz w:val="28"/>
          <w:szCs w:val="28"/>
          <w:lang w:val="ru-RU"/>
        </w:rPr>
      </w:pPr>
    </w:p>
    <w:p w14:paraId="5D3314D7" w14:textId="723CFB19" w:rsidR="00A4606F" w:rsidRDefault="00A4606F" w:rsidP="00310335">
      <w:pPr>
        <w:tabs>
          <w:tab w:val="left" w:pos="709"/>
        </w:tabs>
        <w:spacing w:after="0" w:line="240" w:lineRule="auto"/>
        <w:jc w:val="center"/>
        <w:rPr>
          <w:rStyle w:val="s0"/>
          <w:color w:val="auto"/>
          <w:sz w:val="28"/>
          <w:szCs w:val="28"/>
          <w:lang w:val="ru-RU"/>
        </w:rPr>
      </w:pPr>
    </w:p>
    <w:p w14:paraId="2879D51C" w14:textId="64F163B8" w:rsidR="00A4606F" w:rsidRDefault="00A4606F" w:rsidP="00310335">
      <w:pPr>
        <w:tabs>
          <w:tab w:val="left" w:pos="709"/>
        </w:tabs>
        <w:spacing w:after="0" w:line="240" w:lineRule="auto"/>
        <w:jc w:val="center"/>
        <w:rPr>
          <w:rStyle w:val="s0"/>
          <w:color w:val="auto"/>
          <w:sz w:val="28"/>
          <w:szCs w:val="28"/>
          <w:lang w:val="ru-RU"/>
        </w:rPr>
      </w:pPr>
    </w:p>
    <w:p w14:paraId="1B8B6DCD" w14:textId="4F0010C9" w:rsidR="00A4606F" w:rsidRDefault="00A4606F" w:rsidP="00310335">
      <w:pPr>
        <w:tabs>
          <w:tab w:val="left" w:pos="709"/>
        </w:tabs>
        <w:spacing w:after="0" w:line="240" w:lineRule="auto"/>
        <w:jc w:val="center"/>
        <w:rPr>
          <w:rStyle w:val="s0"/>
          <w:color w:val="auto"/>
          <w:sz w:val="28"/>
          <w:szCs w:val="28"/>
          <w:lang w:val="ru-RU"/>
        </w:rPr>
      </w:pPr>
    </w:p>
    <w:p w14:paraId="5090DB84" w14:textId="77777777" w:rsidR="00A4606F" w:rsidRPr="00372214" w:rsidRDefault="00A4606F" w:rsidP="00310335">
      <w:pPr>
        <w:tabs>
          <w:tab w:val="left" w:pos="709"/>
        </w:tabs>
        <w:spacing w:after="0" w:line="240" w:lineRule="auto"/>
        <w:jc w:val="center"/>
        <w:rPr>
          <w:rStyle w:val="s0"/>
          <w:color w:val="auto"/>
          <w:sz w:val="28"/>
          <w:szCs w:val="28"/>
          <w:lang w:val="ru-RU"/>
        </w:rPr>
      </w:pPr>
    </w:p>
    <w:p w14:paraId="46F979D1" w14:textId="77777777" w:rsidR="0083528B" w:rsidRPr="00372214" w:rsidRDefault="0083528B" w:rsidP="00310335">
      <w:pPr>
        <w:tabs>
          <w:tab w:val="left" w:pos="709"/>
        </w:tabs>
        <w:spacing w:after="0" w:line="240" w:lineRule="auto"/>
        <w:jc w:val="center"/>
        <w:rPr>
          <w:rStyle w:val="s0"/>
          <w:color w:val="auto"/>
          <w:sz w:val="28"/>
          <w:szCs w:val="28"/>
          <w:lang w:val="ru-RU"/>
        </w:rPr>
      </w:pPr>
    </w:p>
    <w:p w14:paraId="34523A77" w14:textId="77777777" w:rsidR="004239F4" w:rsidRPr="00372214" w:rsidRDefault="004239F4" w:rsidP="00310335">
      <w:pPr>
        <w:tabs>
          <w:tab w:val="left" w:pos="709"/>
        </w:tabs>
        <w:spacing w:after="0" w:line="240" w:lineRule="auto"/>
        <w:jc w:val="center"/>
        <w:rPr>
          <w:rStyle w:val="s0"/>
          <w:color w:val="auto"/>
          <w:sz w:val="28"/>
          <w:szCs w:val="28"/>
          <w:lang w:val="ru-RU"/>
        </w:rPr>
      </w:pPr>
    </w:p>
    <w:p w14:paraId="5199A75E" w14:textId="77777777" w:rsidR="004239F4" w:rsidRPr="00372214" w:rsidRDefault="004239F4" w:rsidP="00310335">
      <w:pPr>
        <w:tabs>
          <w:tab w:val="left" w:pos="851"/>
        </w:tabs>
        <w:spacing w:after="0" w:line="240" w:lineRule="auto"/>
        <w:contextualSpacing/>
        <w:jc w:val="center"/>
        <w:rPr>
          <w:rFonts w:ascii="Times New Roman" w:hAnsi="Times New Roman" w:cs="Times New Roman"/>
          <w:sz w:val="28"/>
          <w:szCs w:val="28"/>
        </w:rPr>
      </w:pPr>
    </w:p>
    <w:p w14:paraId="0EB6AD93" w14:textId="77777777" w:rsidR="00FA756B" w:rsidRPr="00372214" w:rsidRDefault="00FA756B" w:rsidP="00310335">
      <w:pPr>
        <w:tabs>
          <w:tab w:val="left" w:pos="851"/>
        </w:tabs>
        <w:spacing w:after="0" w:line="240" w:lineRule="auto"/>
        <w:contextualSpacing/>
        <w:jc w:val="center"/>
        <w:rPr>
          <w:rFonts w:ascii="Times New Roman" w:hAnsi="Times New Roman" w:cs="Times New Roman"/>
          <w:sz w:val="28"/>
          <w:szCs w:val="28"/>
        </w:rPr>
      </w:pPr>
    </w:p>
    <w:p w14:paraId="15489CD5" w14:textId="62D53433" w:rsidR="004239F4" w:rsidRPr="00CE79B0" w:rsidRDefault="004239F4" w:rsidP="00372214">
      <w:pPr>
        <w:spacing w:after="0" w:line="240" w:lineRule="auto"/>
        <w:jc w:val="center"/>
        <w:rPr>
          <w:rStyle w:val="s0"/>
          <w:color w:val="auto"/>
          <w:sz w:val="28"/>
          <w:szCs w:val="28"/>
          <w:lang w:val="ru-RU"/>
        </w:rPr>
      </w:pPr>
      <w:r w:rsidRPr="00CE79B0">
        <w:rPr>
          <w:rStyle w:val="s1"/>
          <w:color w:val="auto"/>
          <w:sz w:val="28"/>
          <w:szCs w:val="28"/>
        </w:rPr>
        <w:t xml:space="preserve">О внесении </w:t>
      </w:r>
      <w:r w:rsidR="007F281F" w:rsidRPr="00CE79B0">
        <w:rPr>
          <w:rStyle w:val="s1"/>
          <w:color w:val="auto"/>
          <w:sz w:val="28"/>
          <w:szCs w:val="28"/>
        </w:rPr>
        <w:t xml:space="preserve">изменений </w:t>
      </w:r>
      <w:r w:rsidRPr="00CE79B0">
        <w:rPr>
          <w:rStyle w:val="s1"/>
          <w:color w:val="auto"/>
          <w:sz w:val="28"/>
          <w:szCs w:val="28"/>
        </w:rPr>
        <w:t>в постановлени</w:t>
      </w:r>
      <w:r w:rsidR="00372214" w:rsidRPr="00CE79B0">
        <w:rPr>
          <w:rStyle w:val="s1"/>
          <w:color w:val="auto"/>
          <w:sz w:val="28"/>
          <w:szCs w:val="28"/>
        </w:rPr>
        <w:t>е</w:t>
      </w:r>
      <w:r w:rsidRPr="00CE79B0">
        <w:rPr>
          <w:rStyle w:val="s1"/>
          <w:color w:val="auto"/>
          <w:sz w:val="28"/>
          <w:szCs w:val="28"/>
        </w:rPr>
        <w:t xml:space="preserve"> Правительства Республики Казахстан </w:t>
      </w:r>
      <w:r w:rsidR="00617BA7" w:rsidRPr="00CE79B0">
        <w:rPr>
          <w:rStyle w:val="s1"/>
          <w:color w:val="auto"/>
          <w:sz w:val="28"/>
          <w:szCs w:val="28"/>
        </w:rPr>
        <w:t xml:space="preserve">от 27 апреля 2022 года № 250 </w:t>
      </w:r>
      <w:r w:rsidRPr="00CE79B0">
        <w:rPr>
          <w:rStyle w:val="s1"/>
          <w:color w:val="auto"/>
          <w:sz w:val="28"/>
          <w:szCs w:val="28"/>
        </w:rPr>
        <w:t>«</w:t>
      </w:r>
      <w:r w:rsidR="00617BA7" w:rsidRPr="00CE79B0">
        <w:rPr>
          <w:rStyle w:val="s1"/>
          <w:color w:val="auto"/>
          <w:sz w:val="28"/>
          <w:szCs w:val="28"/>
        </w:rPr>
        <w:t>Об утверждении Концепции развития малого и среднего предпринимательства в Республике Казахстан до 2030 года</w:t>
      </w:r>
      <w:r w:rsidRPr="00CE79B0">
        <w:rPr>
          <w:rStyle w:val="s1"/>
          <w:color w:val="auto"/>
          <w:sz w:val="28"/>
          <w:szCs w:val="28"/>
        </w:rPr>
        <w:t>»</w:t>
      </w:r>
    </w:p>
    <w:p w14:paraId="1DB545C3" w14:textId="77777777" w:rsidR="004239F4" w:rsidRPr="00CE79B0" w:rsidRDefault="004239F4" w:rsidP="00310335">
      <w:pPr>
        <w:spacing w:after="0" w:line="240" w:lineRule="auto"/>
        <w:ind w:firstLine="567"/>
        <w:jc w:val="both"/>
        <w:rPr>
          <w:rFonts w:ascii="Times New Roman" w:hAnsi="Times New Roman" w:cs="Times New Roman"/>
          <w:sz w:val="28"/>
          <w:szCs w:val="28"/>
        </w:rPr>
      </w:pPr>
    </w:p>
    <w:p w14:paraId="4E420E06" w14:textId="77777777" w:rsidR="004239F4" w:rsidRPr="00CE79B0" w:rsidRDefault="004239F4" w:rsidP="00310335">
      <w:pPr>
        <w:spacing w:after="0" w:line="240" w:lineRule="auto"/>
        <w:ind w:firstLine="567"/>
        <w:jc w:val="both"/>
        <w:rPr>
          <w:rFonts w:ascii="Times New Roman" w:hAnsi="Times New Roman" w:cs="Times New Roman"/>
          <w:sz w:val="28"/>
          <w:szCs w:val="28"/>
        </w:rPr>
      </w:pPr>
    </w:p>
    <w:p w14:paraId="5720E142" w14:textId="77777777" w:rsidR="004239F4" w:rsidRPr="00CE79B0" w:rsidRDefault="004239F4" w:rsidP="004A6C23">
      <w:pPr>
        <w:spacing w:after="0" w:line="240" w:lineRule="auto"/>
        <w:ind w:firstLine="709"/>
        <w:jc w:val="both"/>
        <w:rPr>
          <w:rStyle w:val="s0"/>
          <w:b/>
          <w:color w:val="auto"/>
          <w:sz w:val="28"/>
          <w:szCs w:val="28"/>
          <w:lang w:val="ru-RU"/>
        </w:rPr>
      </w:pPr>
      <w:r w:rsidRPr="00CE79B0">
        <w:rPr>
          <w:rStyle w:val="s0"/>
          <w:color w:val="auto"/>
          <w:sz w:val="28"/>
          <w:szCs w:val="28"/>
          <w:lang w:val="ru-RU"/>
        </w:rPr>
        <w:t xml:space="preserve">Правительство Республики Казахстан </w:t>
      </w:r>
      <w:r w:rsidRPr="00CE79B0">
        <w:rPr>
          <w:rStyle w:val="s0"/>
          <w:b/>
          <w:bCs/>
          <w:color w:val="auto"/>
          <w:sz w:val="28"/>
          <w:szCs w:val="28"/>
          <w:lang w:val="ru-RU"/>
        </w:rPr>
        <w:t>ПОСТАНОВЛЯЕТ</w:t>
      </w:r>
      <w:r w:rsidRPr="00CE79B0">
        <w:rPr>
          <w:rStyle w:val="s0"/>
          <w:b/>
          <w:color w:val="auto"/>
          <w:sz w:val="28"/>
          <w:szCs w:val="28"/>
          <w:lang w:val="ru-RU"/>
        </w:rPr>
        <w:t>:</w:t>
      </w:r>
    </w:p>
    <w:p w14:paraId="236E7C17" w14:textId="64D0D15E" w:rsidR="004239F4" w:rsidRPr="00CE79B0" w:rsidRDefault="00372214"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 xml:space="preserve">1. Внести в постановление Правительства Республики Казахстан </w:t>
      </w:r>
      <w:r w:rsidR="004E5401" w:rsidRPr="00CE79B0">
        <w:rPr>
          <w:rFonts w:ascii="Times New Roman" w:hAnsi="Times New Roman" w:cs="Times New Roman"/>
          <w:sz w:val="28"/>
          <w:szCs w:val="28"/>
        </w:rPr>
        <w:br/>
      </w:r>
      <w:r w:rsidR="00617BA7" w:rsidRPr="00CE79B0">
        <w:rPr>
          <w:rFonts w:ascii="Times New Roman" w:hAnsi="Times New Roman" w:cs="Times New Roman"/>
          <w:sz w:val="28"/>
          <w:szCs w:val="28"/>
        </w:rPr>
        <w:t>от 27 апреля 2022 года № 250 «Об утверждении Концепции развития малого и среднего предпринимательства в Республике Казахстан до 2030 года»</w:t>
      </w:r>
      <w:r w:rsidRPr="00CE79B0">
        <w:rPr>
          <w:rFonts w:ascii="Times New Roman" w:hAnsi="Times New Roman" w:cs="Times New Roman"/>
          <w:sz w:val="28"/>
          <w:szCs w:val="28"/>
        </w:rPr>
        <w:t xml:space="preserve"> следующие </w:t>
      </w:r>
      <w:r w:rsidR="00617BA7" w:rsidRPr="00CE79B0">
        <w:rPr>
          <w:rFonts w:ascii="Times New Roman" w:hAnsi="Times New Roman" w:cs="Times New Roman"/>
          <w:sz w:val="28"/>
          <w:szCs w:val="28"/>
        </w:rPr>
        <w:t>изменения</w:t>
      </w:r>
      <w:r w:rsidR="004239F4" w:rsidRPr="00CE79B0">
        <w:rPr>
          <w:rFonts w:ascii="Times New Roman" w:hAnsi="Times New Roman" w:cs="Times New Roman"/>
          <w:sz w:val="28"/>
          <w:szCs w:val="28"/>
        </w:rPr>
        <w:t>:</w:t>
      </w:r>
    </w:p>
    <w:p w14:paraId="609B5366" w14:textId="184E269A" w:rsidR="00314761" w:rsidRPr="00CE79B0" w:rsidRDefault="00372214"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 xml:space="preserve">в </w:t>
      </w:r>
      <w:r w:rsidR="00617BA7" w:rsidRPr="00CE79B0">
        <w:rPr>
          <w:rFonts w:ascii="Times New Roman" w:hAnsi="Times New Roman" w:cs="Times New Roman"/>
          <w:sz w:val="28"/>
          <w:szCs w:val="28"/>
        </w:rPr>
        <w:t>Концепции развития малого и среднего предпринимательства в Республике Казахстан до 2030 года</w:t>
      </w:r>
      <w:r w:rsidRPr="00CE79B0">
        <w:rPr>
          <w:rFonts w:ascii="Times New Roman" w:hAnsi="Times New Roman" w:cs="Times New Roman"/>
          <w:sz w:val="28"/>
          <w:szCs w:val="28"/>
        </w:rPr>
        <w:t>, утвержденно</w:t>
      </w:r>
      <w:r w:rsidR="00617BA7" w:rsidRPr="00CE79B0">
        <w:rPr>
          <w:rFonts w:ascii="Times New Roman" w:hAnsi="Times New Roman" w:cs="Times New Roman"/>
          <w:sz w:val="28"/>
          <w:szCs w:val="28"/>
        </w:rPr>
        <w:t>й</w:t>
      </w:r>
      <w:r w:rsidRPr="00CE79B0">
        <w:rPr>
          <w:rFonts w:ascii="Times New Roman" w:hAnsi="Times New Roman" w:cs="Times New Roman"/>
          <w:sz w:val="28"/>
          <w:szCs w:val="28"/>
        </w:rPr>
        <w:t xml:space="preserve"> указанным постановлением:</w:t>
      </w:r>
    </w:p>
    <w:p w14:paraId="5A8922A4" w14:textId="1FAD61E5" w:rsidR="007E0BE2" w:rsidRPr="00CE79B0" w:rsidRDefault="007E0BE2"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в разделе 2 «Анализ текущей ситуации»:</w:t>
      </w:r>
    </w:p>
    <w:p w14:paraId="3E16613C" w14:textId="35F1BB43" w:rsidR="00617BA7" w:rsidRPr="00CE79B0" w:rsidRDefault="004A6C23"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г</w:t>
      </w:r>
      <w:r w:rsidR="00617BA7" w:rsidRPr="00CE79B0">
        <w:rPr>
          <w:rFonts w:ascii="Times New Roman" w:hAnsi="Times New Roman" w:cs="Times New Roman"/>
          <w:sz w:val="28"/>
          <w:szCs w:val="28"/>
        </w:rPr>
        <w:t>лав</w:t>
      </w:r>
      <w:r w:rsidRPr="00CE79B0">
        <w:rPr>
          <w:rFonts w:ascii="Times New Roman" w:hAnsi="Times New Roman" w:cs="Times New Roman"/>
          <w:sz w:val="28"/>
          <w:szCs w:val="28"/>
        </w:rPr>
        <w:t>у</w:t>
      </w:r>
      <w:r w:rsidR="00617BA7" w:rsidRPr="00CE79B0">
        <w:rPr>
          <w:rFonts w:ascii="Times New Roman" w:hAnsi="Times New Roman" w:cs="Times New Roman"/>
          <w:sz w:val="28"/>
          <w:szCs w:val="28"/>
        </w:rPr>
        <w:t xml:space="preserve"> </w:t>
      </w:r>
      <w:r w:rsidR="00BC1FFB" w:rsidRPr="00CE79B0">
        <w:rPr>
          <w:rFonts w:ascii="Times New Roman" w:hAnsi="Times New Roman" w:cs="Times New Roman"/>
          <w:sz w:val="28"/>
          <w:szCs w:val="28"/>
        </w:rPr>
        <w:t>2</w:t>
      </w:r>
      <w:r w:rsidR="00617BA7" w:rsidRPr="00CE79B0">
        <w:rPr>
          <w:rFonts w:ascii="Times New Roman" w:hAnsi="Times New Roman" w:cs="Times New Roman"/>
          <w:sz w:val="28"/>
          <w:szCs w:val="28"/>
        </w:rPr>
        <w:t xml:space="preserve"> </w:t>
      </w:r>
      <w:r w:rsidR="00BC1FFB" w:rsidRPr="00CE79B0">
        <w:rPr>
          <w:rFonts w:ascii="Times New Roman" w:hAnsi="Times New Roman" w:cs="Times New Roman"/>
          <w:sz w:val="28"/>
          <w:szCs w:val="28"/>
        </w:rPr>
        <w:t>«Проблемы развития малого и среднего предпринимательства в Республике Казахстан»</w:t>
      </w:r>
      <w:r w:rsidRPr="00CE79B0">
        <w:rPr>
          <w:rFonts w:ascii="Times New Roman" w:hAnsi="Times New Roman" w:cs="Times New Roman"/>
          <w:sz w:val="28"/>
          <w:szCs w:val="28"/>
        </w:rPr>
        <w:t xml:space="preserve"> изложить в следующей редакции</w:t>
      </w:r>
      <w:r w:rsidR="00617BA7" w:rsidRPr="00CE79B0">
        <w:rPr>
          <w:rFonts w:ascii="Times New Roman" w:hAnsi="Times New Roman" w:cs="Times New Roman"/>
          <w:sz w:val="28"/>
          <w:szCs w:val="28"/>
        </w:rPr>
        <w:t>:</w:t>
      </w:r>
    </w:p>
    <w:p w14:paraId="4D59844D" w14:textId="33392341" w:rsidR="004A6C23" w:rsidRPr="00CE79B0" w:rsidRDefault="00BC1FFB"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w:t>
      </w:r>
      <w:r w:rsidR="004A6C23" w:rsidRPr="00CE79B0">
        <w:rPr>
          <w:rFonts w:ascii="Times New Roman" w:hAnsi="Times New Roman" w:cs="Times New Roman"/>
          <w:sz w:val="28"/>
          <w:szCs w:val="28"/>
        </w:rPr>
        <w:t>Глава 2. Проблемы развития малого и среднего предпринимательства в Республике Казахстан</w:t>
      </w:r>
    </w:p>
    <w:p w14:paraId="7E356645" w14:textId="4CEDCEDB" w:rsidR="004A6C23" w:rsidRPr="00CE79B0" w:rsidRDefault="004A6C23"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Национальным планом развития Республики Казахстан до 2025 года, утвержденным Указом Президента Республики Казахстан от 18 февраля 2018 года № 636 (далее – НПР), определены общенациональные приоритеты развития Республики Казахстан, направленные на построение диверсифицированной и инновационной экономики. Вместе с тем реализация текущей политики в отношении развития МСП не в полной мере корреспондируется с указанной целью.</w:t>
      </w:r>
    </w:p>
    <w:p w14:paraId="06D0E42A" w14:textId="1F5AF6C5" w:rsidR="004A6C23" w:rsidRPr="00CE79B0" w:rsidRDefault="004A6C23"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Во-первых, проводимое государственными органами регулирование в соответствующих сферах не в полной мере учитывает, что отношение к предпринимательству зависит от культивируемых в обществе ценностей, мотивации людей и качества человеческого капитала, в связи с чем отсутствуют предпосылки для повышения роста добровольного предпринимательства.</w:t>
      </w:r>
    </w:p>
    <w:p w14:paraId="6FBE779D" w14:textId="453527BC" w:rsidR="004A6C23" w:rsidRPr="00CE79B0" w:rsidRDefault="004A6C23"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Во-вторых, текущее состояние институциональной среды сдерживает предпринимательскую активность.</w:t>
      </w:r>
    </w:p>
    <w:p w14:paraId="06B750BE" w14:textId="77B73680" w:rsidR="004A6C23" w:rsidRPr="00CE79B0" w:rsidRDefault="004A6C23"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lastRenderedPageBreak/>
        <w:t>Приведенный выше анализ институциональных условий развития МСП свидетельствует о наличии ряда проблем, выраженных в незащищенности собственности бизнеса (высокий риск конфискации), недостаточно развитой конкуренции, прямом и косвенном вмешательстве в ценообразование, что в свою очередь не обеспечивает роста предпринимательской активности.</w:t>
      </w:r>
    </w:p>
    <w:p w14:paraId="601F5D3E" w14:textId="63317FEE" w:rsidR="004A6C23" w:rsidRPr="00CE79B0" w:rsidRDefault="004A6C23"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Кроме того, система административно-правового регулирования в отдельных отраслях и сферах остается недружественной по отношению к небольшим предприятиям и не учитывает специфику ведения предпринимательской деятельности в рамках малых форм хозяйствования.</w:t>
      </w:r>
    </w:p>
    <w:p w14:paraId="3FBE0F56" w14:textId="67EB58DD" w:rsidR="004A6C23" w:rsidRPr="00CE79B0" w:rsidRDefault="004A6C23"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В сочетании с высоким уровнем фискальной нагрузки указанные обстоятельства не позволяют предприятиям, находящимся на начальных этапах деятельности, увеличить рынок сбыта продукции, повысить доходность и таким образом обеспечить переход из микробизнеса в малый или средний бизнес.</w:t>
      </w:r>
    </w:p>
    <w:p w14:paraId="525477DB" w14:textId="78A2E458" w:rsidR="004A6C23" w:rsidRPr="00CE79B0" w:rsidRDefault="004A6C23"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В-третьих, бизнес-климат по-прежнему остается сложным и непредсказуемым.</w:t>
      </w:r>
    </w:p>
    <w:p w14:paraId="1AEE13E4" w14:textId="447779ED" w:rsidR="004A6C23" w:rsidRPr="00CE79B0" w:rsidRDefault="004A6C23"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Продолжающиеся рост регуляторной нагрузки, наличие административных барьеров, связанных с входом субъектов МСП на соответствующий рынок и процессами ведения ими бизнеса, не коррелируется с целями государственной политики по развитию предпринимательства, направленными на тотальное смягчение государственного регулирования предпринимательской деятельности.</w:t>
      </w:r>
    </w:p>
    <w:p w14:paraId="4529B6B0" w14:textId="2BF477DC" w:rsidR="00BC1FFB" w:rsidRPr="00CE79B0" w:rsidRDefault="00BC1FFB"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В-четвертых, текущая структура государственной поддержки снижает эффективность государственной политики.</w:t>
      </w:r>
    </w:p>
    <w:p w14:paraId="44BE8A70" w14:textId="77777777" w:rsidR="00BC1FFB" w:rsidRPr="00CE79B0" w:rsidRDefault="00BC1FFB"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t>Этому способствуют несколько факторов:</w:t>
      </w:r>
    </w:p>
    <w:p w14:paraId="59F6711D" w14:textId="182C70F5" w:rsidR="00BC1FFB" w:rsidRPr="00CE79B0" w:rsidRDefault="00BC1FFB" w:rsidP="004A6C23">
      <w:pPr>
        <w:pStyle w:val="a3"/>
        <w:spacing w:after="0" w:line="240" w:lineRule="auto"/>
        <w:ind w:left="0" w:firstLine="709"/>
        <w:jc w:val="both"/>
        <w:rPr>
          <w:rFonts w:ascii="Times New Roman" w:hAnsi="Times New Roman" w:cs="Times New Roman"/>
          <w:sz w:val="28"/>
          <w:szCs w:val="28"/>
        </w:rPr>
      </w:pPr>
      <w:r w:rsidRPr="00CE79B0">
        <w:rPr>
          <w:rFonts w:ascii="Times New Roman" w:hAnsi="Times New Roman" w:cs="Times New Roman"/>
          <w:sz w:val="28"/>
          <w:szCs w:val="28"/>
        </w:rPr>
        <w:t>ориентированность на количественный охват субъектов МСП, а не качественный, что порождает неэффективное расходование ограниченных государственных ресурсов и появление иждивенческого настроения у бизнеса;</w:t>
      </w:r>
    </w:p>
    <w:p w14:paraId="319F9221" w14:textId="2E12B48C" w:rsidR="00BC1FFB" w:rsidRPr="00CE79B0" w:rsidRDefault="00BC1FFB" w:rsidP="004A6C23">
      <w:pPr>
        <w:pStyle w:val="a3"/>
        <w:spacing w:after="0" w:line="240" w:lineRule="auto"/>
        <w:ind w:left="0" w:firstLine="709"/>
        <w:jc w:val="both"/>
        <w:rPr>
          <w:rFonts w:ascii="Times New Roman" w:hAnsi="Times New Roman" w:cs="Times New Roman"/>
          <w:sz w:val="28"/>
          <w:szCs w:val="28"/>
        </w:rPr>
      </w:pPr>
      <w:r w:rsidRPr="00CE79B0">
        <w:rPr>
          <w:rFonts w:ascii="Times New Roman" w:hAnsi="Times New Roman" w:cs="Times New Roman"/>
          <w:sz w:val="28"/>
          <w:szCs w:val="28"/>
        </w:rPr>
        <w:t>отсутствие дифференцированного подхода при поддержке субъектов разных категорий (микро, малый, средний), что создает трудности для прохождения всех этапов жизненного цикла;</w:t>
      </w:r>
    </w:p>
    <w:p w14:paraId="22D568EC" w14:textId="6A2253EC" w:rsidR="003A3953" w:rsidRPr="00CE79B0" w:rsidRDefault="003A3953" w:rsidP="004A6C23">
      <w:pPr>
        <w:pStyle w:val="a3"/>
        <w:spacing w:after="0" w:line="240" w:lineRule="auto"/>
        <w:ind w:left="0" w:firstLine="709"/>
        <w:jc w:val="both"/>
        <w:rPr>
          <w:rFonts w:ascii="Times New Roman" w:hAnsi="Times New Roman" w:cs="Times New Roman"/>
          <w:sz w:val="28"/>
          <w:szCs w:val="28"/>
        </w:rPr>
      </w:pPr>
      <w:r w:rsidRPr="00CE79B0">
        <w:rPr>
          <w:rFonts w:ascii="Times New Roman" w:hAnsi="Times New Roman" w:cs="Times New Roman"/>
          <w:sz w:val="28"/>
          <w:szCs w:val="28"/>
        </w:rPr>
        <w:t>несора</w:t>
      </w:r>
      <w:r w:rsidR="007E0BE2" w:rsidRPr="00CE79B0">
        <w:rPr>
          <w:rFonts w:ascii="Times New Roman" w:hAnsi="Times New Roman" w:cs="Times New Roman"/>
          <w:sz w:val="28"/>
          <w:szCs w:val="28"/>
        </w:rPr>
        <w:t>змерные встречные обязательства;</w:t>
      </w:r>
    </w:p>
    <w:p w14:paraId="1B59389F" w14:textId="35C732DC" w:rsidR="007E0BE2" w:rsidRPr="00CE79B0" w:rsidRDefault="007E0BE2" w:rsidP="004A6C23">
      <w:pPr>
        <w:pStyle w:val="a3"/>
        <w:spacing w:after="0" w:line="240" w:lineRule="auto"/>
        <w:ind w:left="0" w:firstLine="709"/>
        <w:jc w:val="both"/>
        <w:rPr>
          <w:rFonts w:ascii="Times New Roman" w:hAnsi="Times New Roman" w:cs="Times New Roman"/>
          <w:sz w:val="28"/>
          <w:szCs w:val="28"/>
        </w:rPr>
      </w:pPr>
      <w:r w:rsidRPr="00CE79B0">
        <w:rPr>
          <w:rFonts w:ascii="Times New Roman" w:hAnsi="Times New Roman" w:cs="Times New Roman"/>
          <w:sz w:val="28"/>
          <w:szCs w:val="28"/>
        </w:rPr>
        <w:t>превалирующий упор на финансовые меры поддержки, однако, нефинансовые меры способны решить проблемы МСП с повышением компетенций и усилению факторов конкурентоспособности, не связанных со стоимостью заемного капитала.</w:t>
      </w:r>
    </w:p>
    <w:p w14:paraId="2F42A22B" w14:textId="77777777" w:rsidR="004A6C23" w:rsidRPr="00CE79B0" w:rsidRDefault="003A395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Учитывая обозначенные стратегические ориентиры по взращиванию среднего бизнеса, необходимо переориентировать действующую систему мер государственной поддержки в сторону качества, а именно поддержки конкурентоспособных компаний.</w:t>
      </w:r>
    </w:p>
    <w:p w14:paraId="5FF50196" w14:textId="07515ADB"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В-пятых, отсутствует нормативное обеспечение прозрачности всего процесса оказания мер государственной поддержки «от выделения средств до доведения их до конечного получателя».</w:t>
      </w:r>
    </w:p>
    <w:p w14:paraId="2FFA3F1A" w14:textId="6C5FCCCF"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lastRenderedPageBreak/>
        <w:t>Отсутствие достоверной информации о конечных получателях мер государственной поддержки (данные о целевом освоении средств), которая по объективным причинам не раскрывается операторами и/или финансовыми институтами, а также законодательных требований по раскрытию данной информации негативно сказывается на прослеживаемости качества и эффективности мер государственной поддержки.</w:t>
      </w:r>
    </w:p>
    <w:p w14:paraId="02DB0F29" w14:textId="167F9FEA" w:rsidR="00BC1FFB"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Так, к примеру, органы государственного аудита вынуждены готовить суждения о качестве и эффективности мер государственной поддержки, используя только общедоступную информацию о получателях мер государственной поддержки или обобщенную информацию.</w:t>
      </w:r>
      <w:r w:rsidR="003A3953" w:rsidRPr="00CE79B0">
        <w:rPr>
          <w:rFonts w:ascii="Times New Roman" w:hAnsi="Times New Roman" w:cs="Times New Roman"/>
          <w:sz w:val="28"/>
          <w:szCs w:val="28"/>
        </w:rPr>
        <w:t>»</w:t>
      </w:r>
      <w:r w:rsidR="007E0BE2" w:rsidRPr="00CE79B0">
        <w:rPr>
          <w:rFonts w:ascii="Times New Roman" w:hAnsi="Times New Roman" w:cs="Times New Roman"/>
          <w:sz w:val="28"/>
          <w:szCs w:val="28"/>
        </w:rPr>
        <w:t>;</w:t>
      </w:r>
    </w:p>
    <w:p w14:paraId="5991475C" w14:textId="2B9C47BC" w:rsidR="007E0BE2" w:rsidRPr="00CE79B0" w:rsidRDefault="008D4B42"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р</w:t>
      </w:r>
      <w:r w:rsidR="007E0BE2" w:rsidRPr="00CE79B0">
        <w:rPr>
          <w:rFonts w:ascii="Times New Roman" w:hAnsi="Times New Roman" w:cs="Times New Roman"/>
          <w:sz w:val="28"/>
          <w:szCs w:val="28"/>
        </w:rPr>
        <w:t>аздел</w:t>
      </w:r>
      <w:r w:rsidRPr="00CE79B0">
        <w:rPr>
          <w:rFonts w:ascii="Times New Roman" w:hAnsi="Times New Roman" w:cs="Times New Roman"/>
          <w:sz w:val="28"/>
          <w:szCs w:val="28"/>
        </w:rPr>
        <w:t xml:space="preserve"> 3 «</w:t>
      </w:r>
      <w:r w:rsidR="007E0BE2" w:rsidRPr="00CE79B0">
        <w:rPr>
          <w:rFonts w:ascii="Times New Roman" w:hAnsi="Times New Roman" w:cs="Times New Roman"/>
          <w:sz w:val="28"/>
          <w:szCs w:val="28"/>
        </w:rPr>
        <w:t>Обзор международного опыта</w:t>
      </w:r>
      <w:r w:rsidRPr="00CE79B0">
        <w:rPr>
          <w:rFonts w:ascii="Times New Roman" w:hAnsi="Times New Roman" w:cs="Times New Roman"/>
          <w:sz w:val="28"/>
          <w:szCs w:val="28"/>
        </w:rPr>
        <w:t>»</w:t>
      </w:r>
      <w:r w:rsidR="004A6C23" w:rsidRPr="00CE79B0">
        <w:rPr>
          <w:rFonts w:ascii="Times New Roman" w:hAnsi="Times New Roman" w:cs="Times New Roman"/>
          <w:sz w:val="28"/>
          <w:szCs w:val="28"/>
        </w:rPr>
        <w:t xml:space="preserve"> изложить в следующей редакций</w:t>
      </w:r>
      <w:r w:rsidRPr="00CE79B0">
        <w:rPr>
          <w:rFonts w:ascii="Times New Roman" w:hAnsi="Times New Roman" w:cs="Times New Roman"/>
          <w:sz w:val="28"/>
          <w:szCs w:val="28"/>
        </w:rPr>
        <w:t>:</w:t>
      </w:r>
    </w:p>
    <w:p w14:paraId="74A30BFC" w14:textId="77777777" w:rsidR="004A6C23" w:rsidRPr="00CE79B0" w:rsidRDefault="004C3C39"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w:t>
      </w:r>
      <w:r w:rsidR="004A6C23" w:rsidRPr="00CE79B0">
        <w:rPr>
          <w:rFonts w:ascii="Times New Roman" w:hAnsi="Times New Roman" w:cs="Times New Roman"/>
          <w:sz w:val="28"/>
          <w:szCs w:val="28"/>
        </w:rPr>
        <w:t>Раздел 3. Обзор международного опыта</w:t>
      </w:r>
    </w:p>
    <w:p w14:paraId="2E0FAB39" w14:textId="751CD1AD"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Международный опыт передовых зарубежных практик показывает, что качественно проработанная политика развития МСП – выход из бедности и снижение неформальной экономики. По мере роста экономического богатства и перехода от уровня развивающейся страны с доходами ниже среднего к уровню развивающейся страны с доходами выше среднего и высокими, целеполагание смещается в сторону участия МСП в устойчивом экономическом развитии, диверсификации экономики, роста экспорта, инноваций и креативных индустрий. Сравнительный анализ формальных институциональных условий, важных для развития бизнеса, позволяет выделить решения, возможные для адаптации в Казахстане.</w:t>
      </w:r>
    </w:p>
    <w:p w14:paraId="6DE133D3" w14:textId="543BDBD3"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В части предоставления экономических свобод, снижения административных барьеров, искажения ценообразования и развития конкуренции опыт стран Кавказа представляется наиболее привлекательным, поскольку показывает как в условиях трансформации институтов можно стимулировать предпринимательскую активность.</w:t>
      </w:r>
    </w:p>
    <w:p w14:paraId="2C91B3DD" w14:textId="11B3DED3"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 xml:space="preserve">К примеру, опыт Армении по снижению административных барьеров наиболее иллюстративен. Армения является партнером Казахстана по Евразийскому экономическому союзу (далее – ЕАЭС) и имеет схожий уровень свобод в фискальном размере государства с Казахстаном. При этом Армения, имея интегральный рейтинг ниже Казахстана, демонстрирует лучшие показатели по ряду критериев. Армения смогла улучшить показатели в 2018 – 2019 годах, сократив количество процедур, их время и стоимость в </w:t>
      </w:r>
      <w:r w:rsidR="00F00F78">
        <w:rPr>
          <w:rFonts w:ascii="Times New Roman" w:hAnsi="Times New Roman" w:cs="Times New Roman"/>
          <w:sz w:val="28"/>
          <w:szCs w:val="28"/>
        </w:rPr>
        <w:t>«</w:t>
      </w:r>
      <w:r w:rsidRPr="00CE79B0">
        <w:rPr>
          <w:rFonts w:ascii="Times New Roman" w:hAnsi="Times New Roman" w:cs="Times New Roman"/>
          <w:sz w:val="28"/>
          <w:szCs w:val="28"/>
        </w:rPr>
        <w:t>открытии бизнеса</w:t>
      </w:r>
      <w:r w:rsidR="00F00F78">
        <w:rPr>
          <w:rFonts w:ascii="Times New Roman" w:hAnsi="Times New Roman" w:cs="Times New Roman"/>
          <w:sz w:val="28"/>
          <w:szCs w:val="28"/>
        </w:rPr>
        <w:t>»</w:t>
      </w:r>
      <w:r w:rsidRPr="00CE79B0">
        <w:rPr>
          <w:rFonts w:ascii="Times New Roman" w:hAnsi="Times New Roman" w:cs="Times New Roman"/>
          <w:sz w:val="28"/>
          <w:szCs w:val="28"/>
        </w:rPr>
        <w:t xml:space="preserve"> (с 4 процедур до 3, с 5 дней до 4), </w:t>
      </w:r>
      <w:r w:rsidR="00F00F78">
        <w:rPr>
          <w:rFonts w:ascii="Times New Roman" w:hAnsi="Times New Roman" w:cs="Times New Roman"/>
          <w:sz w:val="28"/>
          <w:szCs w:val="28"/>
        </w:rPr>
        <w:t>«</w:t>
      </w:r>
      <w:r w:rsidRPr="00CE79B0">
        <w:rPr>
          <w:rFonts w:ascii="Times New Roman" w:hAnsi="Times New Roman" w:cs="Times New Roman"/>
          <w:sz w:val="28"/>
          <w:szCs w:val="28"/>
        </w:rPr>
        <w:t>подключении к электричеству</w:t>
      </w:r>
      <w:r w:rsidR="00F00F78">
        <w:rPr>
          <w:rFonts w:ascii="Times New Roman" w:hAnsi="Times New Roman" w:cs="Times New Roman"/>
          <w:sz w:val="28"/>
          <w:szCs w:val="28"/>
        </w:rPr>
        <w:t>»</w:t>
      </w:r>
      <w:r w:rsidRPr="00CE79B0">
        <w:rPr>
          <w:rFonts w:ascii="Times New Roman" w:hAnsi="Times New Roman" w:cs="Times New Roman"/>
          <w:sz w:val="28"/>
          <w:szCs w:val="28"/>
        </w:rPr>
        <w:t xml:space="preserve"> (с 6 процедур до 2-3), </w:t>
      </w:r>
      <w:r w:rsidR="00F00F78">
        <w:rPr>
          <w:rFonts w:ascii="Times New Roman" w:hAnsi="Times New Roman" w:cs="Times New Roman"/>
          <w:sz w:val="28"/>
          <w:szCs w:val="28"/>
        </w:rPr>
        <w:t>«</w:t>
      </w:r>
      <w:r w:rsidRPr="00CE79B0">
        <w:rPr>
          <w:rFonts w:ascii="Times New Roman" w:hAnsi="Times New Roman" w:cs="Times New Roman"/>
          <w:sz w:val="28"/>
          <w:szCs w:val="28"/>
        </w:rPr>
        <w:t>получении разрешения на строительство</w:t>
      </w:r>
      <w:r w:rsidR="00F00F78">
        <w:rPr>
          <w:rFonts w:ascii="Times New Roman" w:hAnsi="Times New Roman" w:cs="Times New Roman"/>
          <w:sz w:val="28"/>
          <w:szCs w:val="28"/>
        </w:rPr>
        <w:t>»</w:t>
      </w:r>
      <w:r w:rsidRPr="00CE79B0">
        <w:rPr>
          <w:rFonts w:ascii="Times New Roman" w:hAnsi="Times New Roman" w:cs="Times New Roman"/>
          <w:sz w:val="28"/>
          <w:szCs w:val="28"/>
        </w:rPr>
        <w:t xml:space="preserve"> (время – со 102,5 дней до 99, стоимость – с 2,1 % до 1,3-1,6 % складской стоимости) и </w:t>
      </w:r>
      <w:r w:rsidR="00F00F78">
        <w:rPr>
          <w:rFonts w:ascii="Times New Roman" w:hAnsi="Times New Roman" w:cs="Times New Roman"/>
          <w:sz w:val="28"/>
          <w:szCs w:val="28"/>
        </w:rPr>
        <w:t>«</w:t>
      </w:r>
      <w:r w:rsidRPr="00CE79B0">
        <w:rPr>
          <w:rFonts w:ascii="Times New Roman" w:hAnsi="Times New Roman" w:cs="Times New Roman"/>
          <w:sz w:val="28"/>
          <w:szCs w:val="28"/>
        </w:rPr>
        <w:t>выпуске решения по неплатежеспособности</w:t>
      </w:r>
      <w:r w:rsidR="00F00F78">
        <w:rPr>
          <w:rFonts w:ascii="Times New Roman" w:hAnsi="Times New Roman" w:cs="Times New Roman"/>
          <w:sz w:val="28"/>
          <w:szCs w:val="28"/>
        </w:rPr>
        <w:t>»</w:t>
      </w:r>
      <w:r w:rsidRPr="00CE79B0">
        <w:rPr>
          <w:rFonts w:ascii="Times New Roman" w:hAnsi="Times New Roman" w:cs="Times New Roman"/>
          <w:sz w:val="28"/>
          <w:szCs w:val="28"/>
        </w:rPr>
        <w:t xml:space="preserve"> (стоимость – с 15 % до 11 % имущества).</w:t>
      </w:r>
    </w:p>
    <w:p w14:paraId="6694E929" w14:textId="7208444C"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 xml:space="preserve">В части подключения к электричеству Армения установила строгие сроки для государственных органов по длительности первого подключения. В то время как Армения освободила проекты с низким риском от требований по согласованию архитектурных чертежей с независимыми экспертами, </w:t>
      </w:r>
      <w:r w:rsidRPr="00CE79B0">
        <w:rPr>
          <w:rFonts w:ascii="Times New Roman" w:hAnsi="Times New Roman" w:cs="Times New Roman"/>
          <w:sz w:val="28"/>
          <w:szCs w:val="28"/>
        </w:rPr>
        <w:lastRenderedPageBreak/>
        <w:t>квалификационные требования для архитекторов и инженеров ужесточились в 2020 году.</w:t>
      </w:r>
    </w:p>
    <w:p w14:paraId="1A16F6E5" w14:textId="188B2215"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В этой связи, учитывая, что НПР определена необходимость дальнейшего сокращения административных барьеров по процессам ведения бизнеса, данный опыт представляется применимым в Казахстане.</w:t>
      </w:r>
    </w:p>
    <w:p w14:paraId="71F06F57" w14:textId="6DA2CF8E"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Опыт Грузии наиболее применим в области предоставления свободы инвестиций и установления справедливой конкуренции.</w:t>
      </w:r>
    </w:p>
    <w:p w14:paraId="16026D5E" w14:textId="1962976C"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 xml:space="preserve">Так, после реформ 2000-х годов Грузия смогла резко подняться в ИЭС в сфере свободы инвестиций, что обусловлено ускоренной приватизацией, особенно сферы здравоохранения. В 2011 году в Грузии также был принят </w:t>
      </w:r>
      <w:r w:rsidR="00F00F78">
        <w:rPr>
          <w:rFonts w:ascii="Times New Roman" w:hAnsi="Times New Roman" w:cs="Times New Roman"/>
          <w:sz w:val="28"/>
          <w:szCs w:val="28"/>
        </w:rPr>
        <w:t>«</w:t>
      </w:r>
      <w:r w:rsidRPr="00CE79B0">
        <w:rPr>
          <w:rFonts w:ascii="Times New Roman" w:hAnsi="Times New Roman" w:cs="Times New Roman"/>
          <w:sz w:val="28"/>
          <w:szCs w:val="28"/>
        </w:rPr>
        <w:t>Органический закон об экономической свободе</w:t>
      </w:r>
      <w:r w:rsidR="00F00F78">
        <w:rPr>
          <w:rFonts w:ascii="Times New Roman" w:hAnsi="Times New Roman" w:cs="Times New Roman"/>
          <w:sz w:val="28"/>
          <w:szCs w:val="28"/>
        </w:rPr>
        <w:t>»</w:t>
      </w:r>
      <w:r w:rsidRPr="00CE79B0">
        <w:rPr>
          <w:rFonts w:ascii="Times New Roman" w:hAnsi="Times New Roman" w:cs="Times New Roman"/>
          <w:sz w:val="28"/>
          <w:szCs w:val="28"/>
        </w:rPr>
        <w:t>, который охватывал экономические и гражданские свободы населения и ограничения государственного вмешательства. Согласно этому Закону Грузия сняла ограничения на движение капитала (конвертация валюты, вывоз денежных средства за пределы Грузии) для резидентов и нерезидентов.</w:t>
      </w:r>
    </w:p>
    <w:p w14:paraId="55696B07" w14:textId="7E6AF1DA"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При таких обстоятельствах в сравнении с Казахстаном опыт Грузии, связанный с обеспечением привлекательного инвестиционного климата, представляется более позитивным.</w:t>
      </w:r>
    </w:p>
    <w:p w14:paraId="36A5E292" w14:textId="3E48E5F4"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В части защиты прав собственности наиболее ярким примером служит опыт Перу по формализации прав собственности в начале 1990-х годов. За первые три года программы формализации было зарегистрировано более 150 тысяч объектов ранее неформальной собственности. Основным элементом успеха реформы была низкая стоимость регистрации неформального имущества (без штрафов), что было субсидировано государством в виде необходимости для сокращения транзакционных издержек перехода из теневого сектора. Система имела наименьшее количество процедур для регистрации имущества, что являлось привлекательным для бедного населения, но в то же время мотивировало его к регистрации через информирование на местном уровне о преимуществах формализации.</w:t>
      </w:r>
    </w:p>
    <w:p w14:paraId="19C32CF8" w14:textId="0CC0E795"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Кроме того, Малайзия также является примером успешных реформ в части защиты прав собственности, в особенности, интеллектуальной. Так, в 2011 – 2013 годах Малайзия сумела сократить время процедуры передачи прав на имущество с 41 до 2 дней путем внедрения электронной системы регистрации и оплаты государственной пошлины.</w:t>
      </w:r>
    </w:p>
    <w:p w14:paraId="09ECBA86" w14:textId="0984A4D8"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 xml:space="preserve">В свою очередь, применение подобных практик в Казахстане исключит стимулы к уходу бизнеса в теневой сектор экономики, создаст условия для ведения добросовестного </w:t>
      </w:r>
      <w:r w:rsidR="00F00F78">
        <w:rPr>
          <w:rFonts w:ascii="Times New Roman" w:hAnsi="Times New Roman" w:cs="Times New Roman"/>
          <w:sz w:val="28"/>
          <w:szCs w:val="28"/>
        </w:rPr>
        <w:t>«</w:t>
      </w:r>
      <w:r w:rsidRPr="00CE79B0">
        <w:rPr>
          <w:rFonts w:ascii="Times New Roman" w:hAnsi="Times New Roman" w:cs="Times New Roman"/>
          <w:sz w:val="28"/>
          <w:szCs w:val="28"/>
        </w:rPr>
        <w:t>прозрачного</w:t>
      </w:r>
      <w:r w:rsidR="00F00F78">
        <w:rPr>
          <w:rFonts w:ascii="Times New Roman" w:hAnsi="Times New Roman" w:cs="Times New Roman"/>
          <w:sz w:val="28"/>
          <w:szCs w:val="28"/>
        </w:rPr>
        <w:t>»</w:t>
      </w:r>
      <w:r w:rsidRPr="00CE79B0">
        <w:rPr>
          <w:rFonts w:ascii="Times New Roman" w:hAnsi="Times New Roman" w:cs="Times New Roman"/>
          <w:sz w:val="28"/>
          <w:szCs w:val="28"/>
        </w:rPr>
        <w:t xml:space="preserve"> бизнеса.</w:t>
      </w:r>
    </w:p>
    <w:p w14:paraId="2A098023" w14:textId="705CD9B6"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 xml:space="preserve">В сфере развития института интеллектуальной собственности важным фактором послужили вступление в 2012 году Малайзии в World Intellectual Property Organization (WIPO) и подписание множества международных соглашений в сфере защиты патентов, товарных знаков и авторского права. Такого рода интеграция в глобальное информационное пространство позволила </w:t>
      </w:r>
      <w:r w:rsidRPr="00CE79B0">
        <w:rPr>
          <w:rFonts w:ascii="Times New Roman" w:hAnsi="Times New Roman" w:cs="Times New Roman"/>
          <w:sz w:val="28"/>
          <w:szCs w:val="28"/>
        </w:rPr>
        <w:lastRenderedPageBreak/>
        <w:t>открыть доступ локальным предпринимателям к существующим изобретениям и инновациям, находить и регистрировать ниши.</w:t>
      </w:r>
    </w:p>
    <w:p w14:paraId="210741A1" w14:textId="223CE0C1"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Применение подобной практики в казахстанских реалиях позволит обеспечить условия для дальнейшего развития интеллектуальной собственности, открыть новые формы ее реализации и обеспечить импортирование объектов интеллектуальной собственности на внешние рынки.</w:t>
      </w:r>
    </w:p>
    <w:p w14:paraId="3884FA8A" w14:textId="338D30A3"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В части предотвращения коррупции в государственной службе, судебной системе и правоохранительных органах наиболее ярким является опыт Грузии, которая, начиная с 2000-х годов, продолжает совершенствовать элементы верховенства права и единственная в регионе имеет высокие показатели ИЭС на уровне развитых стран ОЭСР.</w:t>
      </w:r>
    </w:p>
    <w:p w14:paraId="0330B976" w14:textId="014CBD0F"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В 2000 году в Грузии образован филиал неправительственной организации Transparency International Georgia (TI Georgia), которая проводит независимый анализ мер по предотвращению коррупции, мониторинг исполнения инициатив государства по борьбе с коррупцией на всех уровнях.</w:t>
      </w:r>
    </w:p>
    <w:p w14:paraId="7812E1D0" w14:textId="52EF9096"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 xml:space="preserve">Важным отличием от Казахстана является то, что Грузия обеспечивает наибольший уровень прозрачности информации среди стран региона, занимая второе место (после Новой Зеландии) в мире в рейтинге доступа общественности к бюджетной информации. В 2012 году создана унифицированная публичная информационная система, в которую государственные органы обязаны вносить данные бюджетов, закупок. Проект проведен в рамках вхождения Грузии в международную организацию </w:t>
      </w:r>
      <w:r w:rsidR="00F00F78">
        <w:rPr>
          <w:rFonts w:ascii="Times New Roman" w:hAnsi="Times New Roman" w:cs="Times New Roman"/>
          <w:sz w:val="28"/>
          <w:szCs w:val="28"/>
        </w:rPr>
        <w:t>«</w:t>
      </w:r>
      <w:r w:rsidRPr="00CE79B0">
        <w:rPr>
          <w:rFonts w:ascii="Times New Roman" w:hAnsi="Times New Roman" w:cs="Times New Roman"/>
          <w:sz w:val="28"/>
          <w:szCs w:val="28"/>
        </w:rPr>
        <w:t>Открытое правительство</w:t>
      </w:r>
      <w:r w:rsidR="00F00F78">
        <w:rPr>
          <w:rFonts w:ascii="Times New Roman" w:hAnsi="Times New Roman" w:cs="Times New Roman"/>
          <w:sz w:val="28"/>
          <w:szCs w:val="28"/>
        </w:rPr>
        <w:t>»</w:t>
      </w:r>
      <w:r w:rsidRPr="00CE79B0">
        <w:rPr>
          <w:rFonts w:ascii="Times New Roman" w:hAnsi="Times New Roman" w:cs="Times New Roman"/>
          <w:sz w:val="28"/>
          <w:szCs w:val="28"/>
        </w:rPr>
        <w:t>, созданную в 2011 году, нацеленную на утверждение идеалов открытого государства, развитие административного профессионализма, открытого гражданского контроля.</w:t>
      </w:r>
    </w:p>
    <w:p w14:paraId="1DE0C074" w14:textId="52DFE19F"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На сегодняшний день законодательством большинства стран разрешено исключение из банковских тайны сведений в отношении государственных органов и их должностных лиц.</w:t>
      </w:r>
    </w:p>
    <w:p w14:paraId="11B42590" w14:textId="452417A2"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 xml:space="preserve">Раскрытие информации, отнесенной к банковской тайне, осуществляется для правоохранительных органов, органов судебной власти, фискальных (налоговых) органов. Согласно Закону Франции 1984 года </w:t>
      </w:r>
      <w:r w:rsidR="00F00F78">
        <w:rPr>
          <w:rFonts w:ascii="Times New Roman" w:hAnsi="Times New Roman" w:cs="Times New Roman"/>
          <w:sz w:val="28"/>
          <w:szCs w:val="28"/>
        </w:rPr>
        <w:t>«</w:t>
      </w:r>
      <w:r w:rsidRPr="00CE79B0">
        <w:rPr>
          <w:rFonts w:ascii="Times New Roman" w:hAnsi="Times New Roman" w:cs="Times New Roman"/>
          <w:sz w:val="28"/>
          <w:szCs w:val="28"/>
        </w:rPr>
        <w:t>О банках и банковской деятельности</w:t>
      </w:r>
      <w:r w:rsidR="00F00F78">
        <w:rPr>
          <w:rFonts w:ascii="Times New Roman" w:hAnsi="Times New Roman" w:cs="Times New Roman"/>
          <w:sz w:val="28"/>
          <w:szCs w:val="28"/>
        </w:rPr>
        <w:t xml:space="preserve">» </w:t>
      </w:r>
      <w:r w:rsidRPr="00CE79B0">
        <w:rPr>
          <w:rFonts w:ascii="Times New Roman" w:hAnsi="Times New Roman" w:cs="Times New Roman"/>
          <w:sz w:val="28"/>
          <w:szCs w:val="28"/>
        </w:rPr>
        <w:t>сведения о клиентах и их счетах не могут скрываться от судебных органов, проводящих уголовное расследование. В соответствии с Общим налоговым кодексом Франции кредитные организации обязаны объявить налоговым службам об открытии и закрытии счетов вкладов ценных бумаг или денежных средств, текущих авансовых счетов и т.д. В то же время банковская тайна не является препятствием к получению сведений о лицах для налоговых органов Италии.</w:t>
      </w:r>
    </w:p>
    <w:p w14:paraId="0DBA1142" w14:textId="1685649A"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В крупных и/или неоднородных по территории странах, как правило, существует разделение полномочий и ответственности между центральным правительством и региональными властями.</w:t>
      </w:r>
    </w:p>
    <w:p w14:paraId="2050541A" w14:textId="123FE6BF"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 xml:space="preserve">В ответственность центрального правительства входят обеспечение институциональных условий и регуляторная часть политики для развития </w:t>
      </w:r>
      <w:r w:rsidRPr="00CE79B0">
        <w:rPr>
          <w:rFonts w:ascii="Times New Roman" w:hAnsi="Times New Roman" w:cs="Times New Roman"/>
          <w:sz w:val="28"/>
          <w:szCs w:val="28"/>
        </w:rPr>
        <w:lastRenderedPageBreak/>
        <w:t>МСП. Как правило, государства поощряют конкуренцию между регионами за предпринимателей с одной стороны и проводят дополнительные интервенции в отдельные регионы для решения задач национального уровня с другой.       Особенно ярко эта практика проявляется в азиатских странах, использовавших стратегии догоняющего развития.</w:t>
      </w:r>
    </w:p>
    <w:p w14:paraId="40F9EE9A" w14:textId="11C0E1C2"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Развитие специализированных территорий в виде индустриальных зон и парков, бизнес-инкубаторов и акселераторов, креативных парков и зон, другой специализированной инфраструктуры относится к компетенции местных властей, которые лучше понимают региональные особенности, конкурентные преимущества и потребности регионального предпринимательства. Децентрализация прав и ответственности тесно связана с фискальной и бюджетной децентрализацией.</w:t>
      </w:r>
    </w:p>
    <w:p w14:paraId="69603048" w14:textId="6FB9093C"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На уровне регионов могут создаваться собственные институты развития, фокусирующиеся на повышении инвестиционной привлекательности региона в целом и развитии МСП в частности.</w:t>
      </w:r>
    </w:p>
    <w:p w14:paraId="0812EB3B" w14:textId="52006F30"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К примеру, в Республике Татарстан функционирует собственная экосистема по развитию МСП, в которую входят функции финансовой, информационно-консультационной, инновационной, имущественной поддержки предпринимательства. Таким образом, региональным властям переданы полномочия по поддержке экспорта, гарантирования, управления ИТ-парками, агропромпарками, промышленными парками и площадками, бизнес-инкубаторами в регионе.</w:t>
      </w:r>
    </w:p>
    <w:p w14:paraId="47F24027" w14:textId="3BBFF0EC"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 xml:space="preserve">В Европейском Союзе (далее – ЕС) региональные институты развития являются ключевым звеном в развитии региональных предпринимательских экосистем. Региональные институты развития могут быть представлены государственными и неправительственными организациями и частными компаниями. Стоит отметить, что региональные институты развития в ЕС имеют большую автономность от центральных государственных органов, гибкость в принятии решений и обеспечивают межрегиональную (внутри страны) конкуренцию за создание условий для бизнеса по принципу </w:t>
      </w:r>
      <w:r w:rsidR="00F00F78">
        <w:rPr>
          <w:rFonts w:ascii="Times New Roman" w:hAnsi="Times New Roman" w:cs="Times New Roman"/>
          <w:sz w:val="28"/>
          <w:szCs w:val="28"/>
        </w:rPr>
        <w:t>«</w:t>
      </w:r>
      <w:r w:rsidRPr="00CE79B0">
        <w:rPr>
          <w:rFonts w:ascii="Times New Roman" w:hAnsi="Times New Roman" w:cs="Times New Roman"/>
          <w:sz w:val="28"/>
          <w:szCs w:val="28"/>
        </w:rPr>
        <w:t>одного окна</w:t>
      </w:r>
      <w:r w:rsidR="00F00F78">
        <w:rPr>
          <w:rFonts w:ascii="Times New Roman" w:hAnsi="Times New Roman" w:cs="Times New Roman"/>
          <w:sz w:val="28"/>
          <w:szCs w:val="28"/>
        </w:rPr>
        <w:t>»</w:t>
      </w:r>
      <w:r w:rsidRPr="00CE79B0">
        <w:rPr>
          <w:rFonts w:ascii="Times New Roman" w:hAnsi="Times New Roman" w:cs="Times New Roman"/>
          <w:sz w:val="28"/>
          <w:szCs w:val="28"/>
        </w:rPr>
        <w:t xml:space="preserve">. При развитии региональных предпринимательских систем упор делается на межрегиональную кооперацию и коллаборацию для развития единого европейского рынка на принципах </w:t>
      </w:r>
      <w:r w:rsidR="00F00F78">
        <w:rPr>
          <w:rFonts w:ascii="Times New Roman" w:hAnsi="Times New Roman" w:cs="Times New Roman"/>
          <w:sz w:val="28"/>
          <w:szCs w:val="28"/>
        </w:rPr>
        <w:t>«</w:t>
      </w:r>
      <w:r w:rsidRPr="00CE79B0">
        <w:rPr>
          <w:rFonts w:ascii="Times New Roman" w:hAnsi="Times New Roman" w:cs="Times New Roman"/>
          <w:sz w:val="28"/>
          <w:szCs w:val="28"/>
        </w:rPr>
        <w:t>Single Market</w:t>
      </w:r>
      <w:r w:rsidR="00F00F78">
        <w:rPr>
          <w:rFonts w:ascii="Times New Roman" w:hAnsi="Times New Roman" w:cs="Times New Roman"/>
          <w:sz w:val="28"/>
          <w:szCs w:val="28"/>
        </w:rPr>
        <w:t>»</w:t>
      </w:r>
      <w:r w:rsidRPr="00CE79B0">
        <w:rPr>
          <w:rFonts w:ascii="Times New Roman" w:hAnsi="Times New Roman" w:cs="Times New Roman"/>
          <w:sz w:val="28"/>
          <w:szCs w:val="28"/>
        </w:rPr>
        <w:t xml:space="preserve">. В 2020 году в ЕС был реализован проект </w:t>
      </w:r>
      <w:r w:rsidR="00F00F78">
        <w:rPr>
          <w:rFonts w:ascii="Times New Roman" w:hAnsi="Times New Roman" w:cs="Times New Roman"/>
          <w:sz w:val="28"/>
          <w:szCs w:val="28"/>
        </w:rPr>
        <w:t>«</w:t>
      </w:r>
      <w:r w:rsidRPr="00CE79B0">
        <w:rPr>
          <w:rFonts w:ascii="Times New Roman" w:hAnsi="Times New Roman" w:cs="Times New Roman"/>
          <w:sz w:val="28"/>
          <w:szCs w:val="28"/>
        </w:rPr>
        <w:t>Содействие сотрудничеству европейских предпринимательских регионов через картирование и анализ взаимосвязей</w:t>
      </w:r>
      <w:r w:rsidR="00F00F78">
        <w:rPr>
          <w:rFonts w:ascii="Times New Roman" w:hAnsi="Times New Roman" w:cs="Times New Roman"/>
          <w:sz w:val="28"/>
          <w:szCs w:val="28"/>
        </w:rPr>
        <w:t>»</w:t>
      </w:r>
      <w:r w:rsidRPr="00CE79B0">
        <w:rPr>
          <w:rFonts w:ascii="Times New Roman" w:hAnsi="Times New Roman" w:cs="Times New Roman"/>
          <w:sz w:val="28"/>
          <w:szCs w:val="28"/>
        </w:rPr>
        <w:t>.</w:t>
      </w:r>
    </w:p>
    <w:p w14:paraId="4DD7A6FA" w14:textId="251945B4"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В развивающихся странах интересны позитивный опыт и уроки стран ассоциации стран юго-восточной Азии (ASEAN). Основной урок – необходимость прозрачного и понятного разделения обязанностей между центром и регионами, не допускающего пересечения функций. Как правило, центральная власть ответственна за создание и формулирование политики, а региональные власти отвечают за ее реализацию.</w:t>
      </w:r>
    </w:p>
    <w:p w14:paraId="210FF7DF" w14:textId="64B97140" w:rsidR="004A6C23" w:rsidRPr="00CE79B0" w:rsidRDefault="004A6C23"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 xml:space="preserve">Применение перечисленных практик в части разделения полномочий и ответственности между центральным правительством и региональными </w:t>
      </w:r>
      <w:r w:rsidRPr="00CE79B0">
        <w:rPr>
          <w:rFonts w:ascii="Times New Roman" w:hAnsi="Times New Roman" w:cs="Times New Roman"/>
          <w:sz w:val="28"/>
          <w:szCs w:val="28"/>
        </w:rPr>
        <w:lastRenderedPageBreak/>
        <w:t>властями представляется применимым в Казахстане, поскольку позволит более эффективно реализовывать государственную поддержку с учетом особенностей конкретного региона.</w:t>
      </w:r>
    </w:p>
    <w:p w14:paraId="1D49A029" w14:textId="4FC5936D" w:rsidR="008D4B42" w:rsidRPr="00CE79B0" w:rsidRDefault="004C3C39"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В</w:t>
      </w:r>
      <w:r w:rsidR="008D4B42" w:rsidRPr="00CE79B0">
        <w:rPr>
          <w:rFonts w:ascii="Times New Roman" w:hAnsi="Times New Roman" w:cs="Times New Roman"/>
          <w:sz w:val="28"/>
          <w:szCs w:val="28"/>
        </w:rPr>
        <w:t xml:space="preserve"> части распределения мер поддержки предпринимательства для усиления роста производительности наиболее привлекательным усмат</w:t>
      </w:r>
      <w:r w:rsidR="004A6C23" w:rsidRPr="00CE79B0">
        <w:rPr>
          <w:rFonts w:ascii="Times New Roman" w:hAnsi="Times New Roman" w:cs="Times New Roman"/>
          <w:sz w:val="28"/>
          <w:szCs w:val="28"/>
        </w:rPr>
        <w:t>ривается опыт</w:t>
      </w:r>
      <w:r w:rsidR="00AB5AC1" w:rsidRPr="00CE79B0">
        <w:rPr>
          <w:rFonts w:ascii="Times New Roman" w:hAnsi="Times New Roman" w:cs="Times New Roman"/>
          <w:sz w:val="28"/>
          <w:szCs w:val="28"/>
        </w:rPr>
        <w:t xml:space="preserve"> следующих стран.</w:t>
      </w:r>
    </w:p>
    <w:p w14:paraId="2BA8593A" w14:textId="0FC0FDC5" w:rsidR="008D4B42" w:rsidRPr="00CE79B0" w:rsidRDefault="008D4B42" w:rsidP="004A6C23">
      <w:pPr>
        <w:spacing w:after="0" w:line="240" w:lineRule="auto"/>
        <w:ind w:firstLine="709"/>
        <w:jc w:val="both"/>
        <w:rPr>
          <w:rFonts w:ascii="Times New Roman" w:hAnsi="Times New Roman" w:cs="Times New Roman"/>
          <w:sz w:val="28"/>
          <w:szCs w:val="28"/>
        </w:rPr>
      </w:pPr>
      <w:r w:rsidRPr="00CE79B0">
        <w:rPr>
          <w:rFonts w:ascii="Times New Roman" w:hAnsi="Times New Roman" w:cs="Times New Roman"/>
          <w:sz w:val="28"/>
          <w:szCs w:val="28"/>
        </w:rPr>
        <w:t>В Мексике действуют две программы развития в отношении двух типов МСП. Первая программа предназначена для начинающих предпринимателей, ориентированных на внутренний рынок, и МСП, работающих в зонах со сложными природными условиями. Вторая программа ориентирована на существующие МС</w:t>
      </w:r>
      <w:r w:rsidR="004A6C23" w:rsidRPr="00CE79B0">
        <w:rPr>
          <w:rFonts w:ascii="Times New Roman" w:hAnsi="Times New Roman" w:cs="Times New Roman"/>
          <w:sz w:val="28"/>
          <w:szCs w:val="28"/>
        </w:rPr>
        <w:t>П, нацеленные на внешние рынки.</w:t>
      </w:r>
    </w:p>
    <w:p w14:paraId="5D8C2953" w14:textId="7C12AEA0" w:rsidR="008D4B42" w:rsidRPr="00CE79B0" w:rsidRDefault="008D4B42" w:rsidP="004A6C23">
      <w:pPr>
        <w:spacing w:after="0" w:line="240" w:lineRule="auto"/>
        <w:ind w:firstLine="709"/>
        <w:jc w:val="both"/>
        <w:rPr>
          <w:rFonts w:ascii="Times New Roman" w:hAnsi="Times New Roman" w:cs="Times New Roman"/>
          <w:sz w:val="28"/>
          <w:szCs w:val="28"/>
          <w:lang w:val="kk-KZ"/>
        </w:rPr>
      </w:pPr>
      <w:r w:rsidRPr="00CE79B0">
        <w:rPr>
          <w:rFonts w:ascii="Times New Roman" w:hAnsi="Times New Roman" w:cs="Times New Roman"/>
          <w:sz w:val="28"/>
          <w:szCs w:val="28"/>
        </w:rPr>
        <w:t>При этом предлагаемые в данных программах инструменты традиционны: от обучения до льготных кре</w:t>
      </w:r>
      <w:r w:rsidR="004A6C23" w:rsidRPr="00CE79B0">
        <w:rPr>
          <w:rFonts w:ascii="Times New Roman" w:hAnsi="Times New Roman" w:cs="Times New Roman"/>
          <w:sz w:val="28"/>
          <w:szCs w:val="28"/>
        </w:rPr>
        <w:t>дитов и гарантирования займов.</w:t>
      </w:r>
    </w:p>
    <w:p w14:paraId="26829EA8" w14:textId="6D86B9B5" w:rsidR="008D4B42" w:rsidRPr="00CE79B0" w:rsidRDefault="008D4B42"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 xml:space="preserve">В Великобритании реализуется программа «Future Fifty» (2013), в рамках которой осуществляется отбор наиболее перспективных 50 цифровых технологических компаний, базирующихся в Великобритании. Отбор компаний осуществляется независимой панелью экспертов. Двухгодичный механизм поддержки руководителей высшего звена включает в себя такие меры, как обеспечение прямого контакта с ключевыми государственными учреждениями (поддержка по вопросам иммиграции, налогообложения), консультации и сервисное сопровождение (доступ к партнерской сети, классы и семинары с экспертами). Участниками программы могут стать компании с выручкой от 3 до 30 млн. фунтов стерлингов за последний год и ростом выручки 30% за последние 2 года. С 2014 по 2016 гг. в рамках программы было отобрано 77 компаний, а в 2017 году участниками программы стали </w:t>
      </w:r>
      <w:r w:rsidRPr="00CE79B0">
        <w:rPr>
          <w:rFonts w:ascii="Times New Roman" w:eastAsia="Times New Roman" w:hAnsi="Times New Roman" w:cs="Times New Roman"/>
          <w:color w:val="000000"/>
          <w:sz w:val="28"/>
          <w:szCs w:val="28"/>
        </w:rPr>
        <w:br/>
        <w:t>26 компаний.</w:t>
      </w:r>
    </w:p>
    <w:p w14:paraId="7C0D6812" w14:textId="76874478" w:rsidR="008D4B42" w:rsidRPr="00CE79B0" w:rsidRDefault="004A6C23"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 xml:space="preserve">По итогам 2022 года, </w:t>
      </w:r>
      <w:r w:rsidR="008D4B42" w:rsidRPr="00CE79B0">
        <w:rPr>
          <w:rFonts w:ascii="Times New Roman" w:eastAsia="Times New Roman" w:hAnsi="Times New Roman" w:cs="Times New Roman"/>
          <w:color w:val="000000"/>
          <w:sz w:val="28"/>
          <w:szCs w:val="28"/>
        </w:rPr>
        <w:t>доля МСП Великобритании в ВВП составил 51%.</w:t>
      </w:r>
    </w:p>
    <w:p w14:paraId="2986321D" w14:textId="77777777" w:rsidR="008D4B42" w:rsidRPr="00CE79B0" w:rsidRDefault="008D4B42"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Аналогичный подход по развитию конкурентоспособности местных компаний на глобальных рынках используется и в Сингапуре, в рамках программы «Global Company Partnership» (GCP). Данным компаниям предоставляется как финансовая, так и нефинансовая поддержка. В рамках финансовой поддержки производится покрытие до 70% приемлемых расходов по увеличению присутствия на рынках или выхода на новые рынки. Также, предусмотрены схемы страхования. Нефинансовая поддержка осуществляется путем покрытия расходов компании по развитию компетенций (включая стратегии интернационализации, брэндинга, дизайна, франчайзинга, лицензирования и др.). В программе могут принять участие сингапурские компании c экспортным потенциалом, наличием плана интернационализации и конкурентными продуктами или услугами, имеющими экономический эффект для страны. К 2015 году в программе приняли участие около 20 тысяч компаний. Общий объем экспорта участников программы достиг 7 млрд. долларов США в год.</w:t>
      </w:r>
    </w:p>
    <w:p w14:paraId="1C3D46B9" w14:textId="5127494E" w:rsidR="008D4B42" w:rsidRPr="00CE79B0" w:rsidRDefault="008D4B42"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По итогам 2022 года, доля МСП Сингапура в ВВП составил 48%.</w:t>
      </w:r>
    </w:p>
    <w:p w14:paraId="75CEE5EB" w14:textId="77777777" w:rsidR="008D4B42" w:rsidRPr="00CE79B0" w:rsidRDefault="008D4B42"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lastRenderedPageBreak/>
        <w:t xml:space="preserve">Таким образом, международный опыт свидетельствует об эффективности применения подхода по поддержке конкурентоспособных компаний, преимущественно среднего размера, занятых в обрабатывающей промышленности и нацеленные на экспорт. </w:t>
      </w:r>
    </w:p>
    <w:p w14:paraId="1D5769DA" w14:textId="77777777" w:rsidR="008D4B42" w:rsidRPr="00CE79B0" w:rsidRDefault="008D4B42"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При этом, несмотря на высокое разнообразие реализуемых в разных странах программ поддержки быстрорастущих компаний, их общими характерными чертами являются следующее:</w:t>
      </w:r>
    </w:p>
    <w:p w14:paraId="3D847EE0" w14:textId="3C54A86C" w:rsidR="008D4B42" w:rsidRPr="00CE79B0" w:rsidRDefault="008D4B42"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ограниченное число участников;</w:t>
      </w:r>
    </w:p>
    <w:p w14:paraId="1F04376F" w14:textId="2080FD1D" w:rsidR="008D4B42" w:rsidRPr="00CE79B0" w:rsidRDefault="008D4B42"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индивидуальный подход;</w:t>
      </w:r>
    </w:p>
    <w:p w14:paraId="7FCF71EA" w14:textId="018DA360" w:rsidR="008D4B42" w:rsidRPr="00CE79B0" w:rsidRDefault="008D4B42"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необходимый набор государственной поддержки (к примеру, финансовая помощь в приобретении технологического оборудования, получении патентов и прочих видов интеллектуальной собственности, льготное софинансирование проектов, целевые займы для реализации новых промышленных проектов и</w:t>
      </w:r>
      <w:r w:rsidR="004831E2" w:rsidRPr="00CE79B0">
        <w:rPr>
          <w:rFonts w:ascii="Times New Roman" w:eastAsia="Times New Roman" w:hAnsi="Times New Roman" w:cs="Times New Roman"/>
          <w:color w:val="000000"/>
          <w:sz w:val="28"/>
          <w:szCs w:val="28"/>
          <w:lang w:val="kk-KZ"/>
        </w:rPr>
        <w:t xml:space="preserve"> </w:t>
      </w:r>
      <w:r w:rsidRPr="00CE79B0">
        <w:rPr>
          <w:rFonts w:ascii="Times New Roman" w:eastAsia="Times New Roman" w:hAnsi="Times New Roman" w:cs="Times New Roman"/>
          <w:color w:val="000000"/>
          <w:sz w:val="28"/>
          <w:szCs w:val="28"/>
        </w:rPr>
        <w:t>т</w:t>
      </w:r>
      <w:r w:rsidR="004831E2" w:rsidRPr="00CE79B0">
        <w:rPr>
          <w:rFonts w:ascii="Times New Roman" w:eastAsia="Times New Roman" w:hAnsi="Times New Roman" w:cs="Times New Roman"/>
          <w:color w:val="000000"/>
          <w:sz w:val="28"/>
          <w:szCs w:val="28"/>
          <w:lang w:val="kk-KZ"/>
        </w:rPr>
        <w:t>.</w:t>
      </w:r>
      <w:r w:rsidRPr="00CE79B0">
        <w:rPr>
          <w:rFonts w:ascii="Times New Roman" w:eastAsia="Times New Roman" w:hAnsi="Times New Roman" w:cs="Times New Roman"/>
          <w:color w:val="000000"/>
          <w:sz w:val="28"/>
          <w:szCs w:val="28"/>
        </w:rPr>
        <w:t>д. Нефинансовые механизмы поддержки, включая консалтинговую и маркетинговую поддержку, образовательные программы и др.)</w:t>
      </w:r>
    </w:p>
    <w:p w14:paraId="505D7D48" w14:textId="5C0CD771" w:rsidR="008D4B42" w:rsidRPr="00CE79B0" w:rsidRDefault="008D4B42" w:rsidP="004A6C23">
      <w:pPr>
        <w:shd w:val="clear" w:color="auto" w:fill="FFFFFF"/>
        <w:spacing w:after="0" w:line="240" w:lineRule="auto"/>
        <w:ind w:firstLine="709"/>
        <w:contextualSpacing/>
        <w:jc w:val="both"/>
        <w:textAlignment w:val="baseline"/>
        <w:rPr>
          <w:rFonts w:ascii="Times New Roman" w:hAnsi="Times New Roman" w:cs="Times New Roman"/>
          <w:sz w:val="28"/>
          <w:szCs w:val="28"/>
        </w:rPr>
      </w:pPr>
      <w:r w:rsidRPr="00CE79B0">
        <w:rPr>
          <w:rFonts w:ascii="Times New Roman" w:eastAsia="Times New Roman" w:hAnsi="Times New Roman" w:cs="Times New Roman"/>
          <w:color w:val="000000"/>
          <w:sz w:val="28"/>
          <w:szCs w:val="28"/>
        </w:rPr>
        <w:t>сопровождение проектов МСП при обращениях за поддержкой, к примеру, по выходу на экспорт, обеспечением инвестициями.</w:t>
      </w:r>
      <w:r w:rsidRPr="00CE79B0">
        <w:rPr>
          <w:rFonts w:ascii="Times New Roman" w:hAnsi="Times New Roman" w:cs="Times New Roman"/>
          <w:sz w:val="28"/>
          <w:szCs w:val="28"/>
        </w:rPr>
        <w:t>»;</w:t>
      </w:r>
    </w:p>
    <w:p w14:paraId="349668A9" w14:textId="5A70B919" w:rsidR="008D4B42" w:rsidRPr="00CE79B0" w:rsidRDefault="008D4B42"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в разделе 4 «Видение развития малого и среднего предпринимательства»:</w:t>
      </w:r>
    </w:p>
    <w:p w14:paraId="3179D138" w14:textId="30F8ED14" w:rsidR="008D4B42" w:rsidRPr="00CE79B0" w:rsidRDefault="004A6C23" w:rsidP="004A6C23">
      <w:pPr>
        <w:shd w:val="clear" w:color="auto" w:fill="FFFFFF"/>
        <w:spacing w:after="0" w:line="240" w:lineRule="auto"/>
        <w:ind w:firstLine="709"/>
        <w:contextualSpacing/>
        <w:jc w:val="both"/>
        <w:textAlignment w:val="baseline"/>
        <w:rPr>
          <w:rFonts w:ascii="Times New Roman" w:hAnsi="Times New Roman" w:cs="Times New Roman"/>
          <w:sz w:val="28"/>
          <w:szCs w:val="28"/>
        </w:rPr>
      </w:pPr>
      <w:r w:rsidRPr="00CE79B0">
        <w:rPr>
          <w:rFonts w:ascii="Times New Roman" w:eastAsia="Times New Roman" w:hAnsi="Times New Roman" w:cs="Times New Roman"/>
          <w:color w:val="000000"/>
          <w:sz w:val="28"/>
          <w:szCs w:val="28"/>
        </w:rPr>
        <w:t>часть первую</w:t>
      </w:r>
      <w:r w:rsidR="008D4B42" w:rsidRPr="00CE79B0">
        <w:rPr>
          <w:rFonts w:ascii="Times New Roman" w:eastAsia="Times New Roman" w:hAnsi="Times New Roman" w:cs="Times New Roman"/>
          <w:color w:val="000000"/>
          <w:sz w:val="28"/>
          <w:szCs w:val="28"/>
        </w:rPr>
        <w:t xml:space="preserve"> </w:t>
      </w:r>
      <w:r w:rsidR="008D4B42" w:rsidRPr="00CE79B0">
        <w:rPr>
          <w:rFonts w:ascii="Times New Roman" w:hAnsi="Times New Roman" w:cs="Times New Roman"/>
          <w:sz w:val="28"/>
          <w:szCs w:val="28"/>
        </w:rPr>
        <w:t>изложить в следующей редакции:</w:t>
      </w:r>
    </w:p>
    <w:p w14:paraId="2621FA30" w14:textId="76BFE292" w:rsidR="008C7BAB" w:rsidRPr="00CE79B0" w:rsidRDefault="008C7BAB" w:rsidP="004A6C23">
      <w:pPr>
        <w:shd w:val="clear" w:color="auto" w:fill="FFFFFF"/>
        <w:spacing w:after="0" w:line="240" w:lineRule="auto"/>
        <w:ind w:firstLine="709"/>
        <w:contextualSpacing/>
        <w:jc w:val="both"/>
        <w:textAlignment w:val="baseline"/>
        <w:rPr>
          <w:rFonts w:ascii="Times New Roman" w:hAnsi="Times New Roman" w:cs="Times New Roman"/>
          <w:sz w:val="28"/>
          <w:szCs w:val="28"/>
        </w:rPr>
      </w:pPr>
      <w:r w:rsidRPr="00CE79B0">
        <w:rPr>
          <w:rFonts w:ascii="Times New Roman" w:hAnsi="Times New Roman" w:cs="Times New Roman"/>
          <w:sz w:val="28"/>
          <w:szCs w:val="28"/>
        </w:rPr>
        <w:t>«Казахстан нацелен на переход от поддержки всех субъектов МСП к конкурентоспособным с приоритетом развития среднего предпринимательства.»</w:t>
      </w:r>
      <w:r w:rsidR="004A6C23" w:rsidRPr="00CE79B0">
        <w:rPr>
          <w:rFonts w:ascii="Times New Roman" w:hAnsi="Times New Roman" w:cs="Times New Roman"/>
          <w:sz w:val="28"/>
          <w:szCs w:val="28"/>
        </w:rPr>
        <w:t>;</w:t>
      </w:r>
    </w:p>
    <w:p w14:paraId="4B8AC56F" w14:textId="6B72738A" w:rsidR="008C7BAB" w:rsidRPr="00CE79B0" w:rsidRDefault="008C7BAB"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в разделе 5 «Основные принципы и подходы к развитию малого и среднего предпринимательства»:</w:t>
      </w:r>
    </w:p>
    <w:p w14:paraId="20C76CDF" w14:textId="07BC3494" w:rsidR="008C7BAB" w:rsidRPr="00CE79B0" w:rsidRDefault="008C7BAB"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в главе 2 «Подходы к развитию малого и среднего предпринимательства»:</w:t>
      </w:r>
    </w:p>
    <w:p w14:paraId="0FDA8007" w14:textId="4C6E518D" w:rsidR="008C7BAB" w:rsidRPr="00CE79B0" w:rsidRDefault="008C7BAB" w:rsidP="004A6C23">
      <w:pPr>
        <w:spacing w:after="0" w:line="240" w:lineRule="auto"/>
        <w:ind w:firstLine="709"/>
        <w:contextualSpacing/>
        <w:jc w:val="both"/>
        <w:rPr>
          <w:rFonts w:ascii="Times New Roman" w:hAnsi="Times New Roman" w:cs="Times New Roman"/>
          <w:sz w:val="28"/>
          <w:szCs w:val="28"/>
        </w:rPr>
      </w:pPr>
      <w:r w:rsidRPr="00CE79B0">
        <w:rPr>
          <w:rFonts w:ascii="Times New Roman" w:eastAsia="Times New Roman" w:hAnsi="Times New Roman" w:cs="Times New Roman"/>
          <w:color w:val="000000"/>
          <w:sz w:val="28"/>
          <w:szCs w:val="28"/>
        </w:rPr>
        <w:t>задачу 4 «Обеспечение эффективности структуры мер государственной поддержки»</w:t>
      </w:r>
      <w:r w:rsidRPr="00CE79B0">
        <w:rPr>
          <w:rFonts w:ascii="Times New Roman" w:hAnsi="Times New Roman" w:cs="Times New Roman"/>
          <w:sz w:val="28"/>
          <w:szCs w:val="28"/>
        </w:rPr>
        <w:t xml:space="preserve"> изложить в следующей редакции:</w:t>
      </w:r>
    </w:p>
    <w:p w14:paraId="2A7DD246" w14:textId="3BB2BC5F" w:rsidR="004A6C23" w:rsidRPr="00CE79B0" w:rsidRDefault="008C7BAB"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w:t>
      </w:r>
      <w:r w:rsidR="004A6C23" w:rsidRPr="00CE79B0">
        <w:rPr>
          <w:rFonts w:ascii="Times New Roman" w:eastAsia="Times New Roman" w:hAnsi="Times New Roman" w:cs="Times New Roman"/>
          <w:color w:val="000000"/>
          <w:sz w:val="28"/>
          <w:szCs w:val="28"/>
        </w:rPr>
        <w:t>Задача 4. Обеспечение эффективности структуры мер государственной поддержки</w:t>
      </w:r>
    </w:p>
    <w:p w14:paraId="68818371" w14:textId="430ED13C" w:rsidR="008C7BAB" w:rsidRPr="00CE79B0" w:rsidRDefault="008C7BAB"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На заключительном уровне пирамиды лежат реформы, связанные с обеспечением эффективной структуры мер государственной поддержки.</w:t>
      </w:r>
    </w:p>
    <w:p w14:paraId="4B2867B4" w14:textId="41FF42CA" w:rsidR="008C7BAB" w:rsidRPr="00CE79B0" w:rsidRDefault="008C7BAB"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Должна быть проведена градация доступности инструментов и государственных мер стимулирования развития МСП в привязке к категории субъекта МСП, его динамике налоговых выплат, стадии жизненного цикла и потенциалу развития.</w:t>
      </w:r>
    </w:p>
    <w:p w14:paraId="7AC764BD" w14:textId="77777777" w:rsidR="008C7BAB" w:rsidRPr="00CE79B0" w:rsidRDefault="008C7BAB"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 xml:space="preserve">Для этого основной вектор мер государственного регулирования и стимулирования предпринимательства будет направлен на обеспечение непрерывного развития бизнеса на всех стадиях его развития, что в последующем позволит обеспечить переход значительной части малого бизнеса в категорию среднего и среднего в крупный. </w:t>
      </w:r>
    </w:p>
    <w:p w14:paraId="4240047E" w14:textId="4E70A0A5" w:rsidR="008C7BAB" w:rsidRPr="00CE79B0" w:rsidRDefault="008C7BAB"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Основной фокус развития будет направлен:</w:t>
      </w:r>
    </w:p>
    <w:p w14:paraId="17C77733" w14:textId="4C2136FE" w:rsidR="008C7BAB" w:rsidRPr="00CE79B0" w:rsidRDefault="008C7BAB"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на поддержку начинающих предпринимателей по реализации бизнес-инициативы;</w:t>
      </w:r>
    </w:p>
    <w:p w14:paraId="5A349819" w14:textId="35861383" w:rsidR="008C7BAB" w:rsidRPr="00CE79B0" w:rsidRDefault="008C7BAB"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lastRenderedPageBreak/>
        <w:t>на качественное развитие микро и малых предприятий для прохождения всех этапов жизненного цикла;</w:t>
      </w:r>
    </w:p>
    <w:p w14:paraId="2EBBD63E" w14:textId="21D7732F" w:rsidR="008C7BAB" w:rsidRPr="00CE79B0" w:rsidRDefault="008C7BAB"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на взращивание устойчивой прослойки среднего бизнеса;</w:t>
      </w:r>
    </w:p>
    <w:p w14:paraId="57AE1FBC" w14:textId="2D1E60E6" w:rsidR="008C7BAB" w:rsidRPr="00CE79B0" w:rsidRDefault="008C7BAB"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на антикризисную поддержку предприятий, имеющих потенциал для развития, но оказавшиеся в трудной ситуации, на которые они не могли повлиять.</w:t>
      </w:r>
    </w:p>
    <w:p w14:paraId="75473501" w14:textId="77777777"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Так, начинающим предпринимателям («стадия становление») должны быть предложены стимулы в виде предоставления доступа ко всем нефинансовым мерам поддержки, направленных на культивирование ценностей присущих предпринимательству, а также на развитие необходимых компетенции (консультации, обучение, информирование и т.д.) а также к лимитированному количеству финансовых мер поддержки (микрокредиты, гранты).</w:t>
      </w:r>
    </w:p>
    <w:p w14:paraId="47C94D6A" w14:textId="77777777"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При этом для данной категории бизнеса жестких критериев отбора и встречных обязательств для получения соответствующих мер поддержки предъявляться не будет.</w:t>
      </w:r>
    </w:p>
    <w:p w14:paraId="10ABC4A3" w14:textId="6879932A"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На стадии роста предпринимательской активности субъектам бизнеса будет предложен лимитированный комплекс мер финансовой поддержки (в виде субсидирования, гарантирования, льготного кредитования), а также будут доступны необходимые нефинансовые меры поддержки (повышение квалификации сотрудников, установление деловых связей, сопровождение по наращиванию присутствия на внутреннем рынке итд).</w:t>
      </w:r>
    </w:p>
    <w:p w14:paraId="28A34EA0" w14:textId="77777777"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В качестве основных критериев отбора таких компаний будут выступать:</w:t>
      </w:r>
    </w:p>
    <w:p w14:paraId="1C0C0673" w14:textId="77777777" w:rsidR="009A0815" w:rsidRPr="00CE79B0" w:rsidRDefault="009A0815" w:rsidP="004A6C23">
      <w:pPr>
        <w:shd w:val="clear" w:color="auto" w:fill="FFFFFF"/>
        <w:tabs>
          <w:tab w:val="left" w:pos="993"/>
        </w:tabs>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1.</w:t>
      </w:r>
      <w:r w:rsidRPr="00CE79B0">
        <w:rPr>
          <w:rFonts w:ascii="Times New Roman" w:eastAsia="Times New Roman" w:hAnsi="Times New Roman" w:cs="Times New Roman"/>
          <w:color w:val="000000" w:themeColor="text1"/>
          <w:sz w:val="28"/>
          <w:szCs w:val="28"/>
        </w:rPr>
        <w:tab/>
        <w:t>функционирование на рынке не менее 3-х лет;</w:t>
      </w:r>
    </w:p>
    <w:p w14:paraId="146037B5" w14:textId="77777777" w:rsidR="009A0815" w:rsidRPr="00CE79B0" w:rsidRDefault="009A0815" w:rsidP="004A6C23">
      <w:pPr>
        <w:shd w:val="clear" w:color="auto" w:fill="FFFFFF"/>
        <w:tabs>
          <w:tab w:val="left" w:pos="993"/>
        </w:tabs>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2.</w:t>
      </w:r>
      <w:r w:rsidRPr="00CE79B0">
        <w:rPr>
          <w:rFonts w:ascii="Times New Roman" w:eastAsia="Times New Roman" w:hAnsi="Times New Roman" w:cs="Times New Roman"/>
          <w:color w:val="000000" w:themeColor="text1"/>
          <w:sz w:val="28"/>
          <w:szCs w:val="28"/>
        </w:rPr>
        <w:tab/>
        <w:t>отсутствие налоговой задолженности;</w:t>
      </w:r>
    </w:p>
    <w:p w14:paraId="4A45CAA2" w14:textId="77777777" w:rsidR="009A0815" w:rsidRPr="00CE79B0" w:rsidRDefault="009A0815" w:rsidP="004A6C23">
      <w:pPr>
        <w:shd w:val="clear" w:color="auto" w:fill="FFFFFF"/>
        <w:tabs>
          <w:tab w:val="left" w:pos="993"/>
        </w:tabs>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3.</w:t>
      </w:r>
      <w:r w:rsidRPr="00CE79B0">
        <w:rPr>
          <w:rFonts w:ascii="Times New Roman" w:eastAsia="Times New Roman" w:hAnsi="Times New Roman" w:cs="Times New Roman"/>
          <w:color w:val="000000" w:themeColor="text1"/>
          <w:sz w:val="28"/>
          <w:szCs w:val="28"/>
        </w:rPr>
        <w:tab/>
        <w:t>темп роста доходов не менее 10 %.</w:t>
      </w:r>
    </w:p>
    <w:p w14:paraId="727B854F" w14:textId="77777777"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Для компаний малого и среднего бизнеса, имеющих потенциал к росту, но оказавшихся в трудной ситуации («стадия рецессия») будут предложены стимулы по выходу из кризисной ситуации (в виде внедрения антикризисных программ, погашения задолженностей, субсидирования и т.д.).</w:t>
      </w:r>
    </w:p>
    <w:p w14:paraId="07B62D73" w14:textId="1B0FAF04"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В качестве главного критерия для такой организации будет выступать документ, подтверждающий обстоятельство форс-мажора и отсутствие процедур банкротства.</w:t>
      </w:r>
    </w:p>
    <w:p w14:paraId="72FA5118" w14:textId="31C6CE8D"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 xml:space="preserve">Основной фокус государственной политики поддержки бизнеса будет направлен на развитие конкурентоспособных экспортооринтированных компаний среднего звена, имеющих потенциал к последующей трансформации в лидеры национальной экономики («стадия зрелость»). </w:t>
      </w:r>
    </w:p>
    <w:p w14:paraId="7530C38D" w14:textId="77777777" w:rsidR="009A0815" w:rsidRPr="00CE79B0" w:rsidRDefault="009A0815" w:rsidP="004A6C23">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 xml:space="preserve">Для указанных компаний в рамках специально разработанной программы «Бизнес – элита новой формации: Путь к глобализации» будет предложен широкий спектр поддержки как финансовых, так и нефинансовых мер поддержки: от содействия в разработке технической документации до отдельных условий льготного финансирования, субсидирования процентной ставки, частичного гарантирования, лизинга, использования инструментов </w:t>
      </w:r>
      <w:r w:rsidRPr="00CE79B0">
        <w:rPr>
          <w:rFonts w:ascii="Times New Roman" w:eastAsia="Times New Roman" w:hAnsi="Times New Roman" w:cs="Times New Roman"/>
          <w:color w:val="000000"/>
          <w:sz w:val="28"/>
          <w:szCs w:val="28"/>
        </w:rPr>
        <w:lastRenderedPageBreak/>
        <w:t>долевого финансирования и рынка капитала (субсидирование ставки купонного вознаграждения по облигациям), а также иных механизмов поддержки. В качестве основных критериев предлагается рассматривать в том числе:</w:t>
      </w:r>
    </w:p>
    <w:p w14:paraId="0805E807" w14:textId="09951CF7"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Основные критерии будут базироваться на:</w:t>
      </w:r>
    </w:p>
    <w:p w14:paraId="65A31401" w14:textId="01A07E79"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экспорторинтированности – т.е. компания- претендент должна реализовывать или намереваться реализовать свои товары, работы, услуги на внешние рынки;</w:t>
      </w:r>
    </w:p>
    <w:p w14:paraId="3C4364CC" w14:textId="08EC2700"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высокой производительности труда – производительность труда на 1 работника в год должна превышать 25 млн тенге;</w:t>
      </w:r>
    </w:p>
    <w:p w14:paraId="007EB84F" w14:textId="3F054A76"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наличие постоянных налоговых поступлений в бюджет.</w:t>
      </w:r>
    </w:p>
    <w:p w14:paraId="778EB104" w14:textId="77777777" w:rsidR="009A0815" w:rsidRPr="00CE79B0" w:rsidRDefault="009A0815" w:rsidP="004A6C23">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 xml:space="preserve">Оценку соответствия указанным критериям предлагается осуществлять </w:t>
      </w:r>
      <w:r w:rsidRPr="00CE79B0">
        <w:rPr>
          <w:rFonts w:ascii="Times New Roman" w:eastAsia="Times New Roman" w:hAnsi="Times New Roman" w:cs="Times New Roman"/>
          <w:color w:val="000000"/>
          <w:sz w:val="28"/>
          <w:szCs w:val="28"/>
        </w:rPr>
        <w:br/>
        <w:t>на основании данных центральных государственных органов и Комитета государственных доходов Министерства финансов РК.</w:t>
      </w:r>
    </w:p>
    <w:p w14:paraId="3829CBE8" w14:textId="77777777" w:rsidR="009A0815" w:rsidRPr="00CE79B0" w:rsidRDefault="009A0815" w:rsidP="004A6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При этом указанным компаниям также будут предложены стимулы в виде освобождения от проверок и профилактического контроля с посещением субъектов, внедрив взамен прозрачную отчетность бизнеса.</w:t>
      </w:r>
    </w:p>
    <w:p w14:paraId="248D358F" w14:textId="77777777"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Встречные обязательства будут пропорционально определяться в зависимости от вида и объема получаемой меры государственного стимулирования и будут применяться в совокупности или отдельно по следующим направлениям:</w:t>
      </w:r>
    </w:p>
    <w:p w14:paraId="584C82CB" w14:textId="77777777"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1) повышение производительности труда;</w:t>
      </w:r>
    </w:p>
    <w:p w14:paraId="0A428968" w14:textId="77777777"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2) наращивание поставок экспорта;</w:t>
      </w:r>
    </w:p>
    <w:p w14:paraId="359DFE39" w14:textId="77777777"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3)  увеличение налоговых поступлений.</w:t>
      </w:r>
    </w:p>
    <w:p w14:paraId="092EA754" w14:textId="77777777" w:rsidR="009A0815"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4)  углублению переработки сырья.</w:t>
      </w:r>
    </w:p>
    <w:p w14:paraId="550802AB" w14:textId="5DD5F417" w:rsidR="008C7BAB" w:rsidRPr="00CE79B0" w:rsidRDefault="009A0815"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themeColor="text1"/>
          <w:sz w:val="28"/>
          <w:szCs w:val="28"/>
        </w:rPr>
      </w:pPr>
      <w:r w:rsidRPr="00CE79B0">
        <w:rPr>
          <w:rFonts w:ascii="Times New Roman" w:eastAsia="Times New Roman" w:hAnsi="Times New Roman" w:cs="Times New Roman"/>
          <w:color w:val="000000" w:themeColor="text1"/>
          <w:sz w:val="28"/>
          <w:szCs w:val="28"/>
        </w:rPr>
        <w:t>Такой проектный подход вберет в себя лучшие мировые и отечественные практики по взращиванию сильных конкурентоспособных компаний, способных стать лидерами национальной экономики.</w:t>
      </w:r>
    </w:p>
    <w:p w14:paraId="234727A5" w14:textId="137D0167" w:rsidR="008C7BAB" w:rsidRPr="00CE79B0" w:rsidRDefault="008C7BAB" w:rsidP="004A6C23">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8"/>
          <w:szCs w:val="28"/>
        </w:rPr>
      </w:pPr>
      <w:r w:rsidRPr="00CE79B0">
        <w:rPr>
          <w:rFonts w:ascii="Times New Roman" w:eastAsia="Times New Roman" w:hAnsi="Times New Roman" w:cs="Times New Roman"/>
          <w:color w:val="000000"/>
          <w:sz w:val="28"/>
          <w:szCs w:val="28"/>
        </w:rPr>
        <w:t>Операторами мер государственной поддержки должны быть приняты исчерпывающие меры по повышению прозрачности финансовых операций по предоставлению средств в части разработки и утверждения типовых условий о раскрытии информации о получателях мер государственной поддержки.</w:t>
      </w:r>
    </w:p>
    <w:p w14:paraId="2D969078" w14:textId="699A2742" w:rsidR="00617BA7" w:rsidRPr="00CE79B0" w:rsidRDefault="00617BA7" w:rsidP="004A6C23">
      <w:pPr>
        <w:tabs>
          <w:tab w:val="left" w:pos="851"/>
          <w:tab w:val="left" w:pos="5940"/>
        </w:tabs>
        <w:spacing w:after="0" w:line="240" w:lineRule="auto"/>
        <w:ind w:firstLine="709"/>
        <w:jc w:val="both"/>
        <w:rPr>
          <w:rStyle w:val="s0"/>
          <w:sz w:val="28"/>
          <w:szCs w:val="28"/>
          <w:lang w:val="ru-RU"/>
        </w:rPr>
      </w:pPr>
      <w:r w:rsidRPr="00CE79B0">
        <w:rPr>
          <w:rStyle w:val="s0"/>
          <w:sz w:val="28"/>
          <w:szCs w:val="28"/>
          <w:lang w:val="ru-RU"/>
        </w:rPr>
        <w:t>В целях обеспечения прозрачности при получении мер государственной поддержки необходимо открыть доступ органов государственного аудита к сведениям, составляющим банковскую тайну, путем включения в правила, типовые договоры соответствующих норм, предусматривающих наличие согласия получателя государственной поддержки на раскрытие банковской тайны органам государственного аудита. При этом данное условие должно быть обеспечено на всех уровнях государственного и квазигосударственного секторов.</w:t>
      </w:r>
      <w:r w:rsidR="009A0815" w:rsidRPr="00CE79B0">
        <w:rPr>
          <w:rStyle w:val="s0"/>
          <w:sz w:val="28"/>
          <w:szCs w:val="28"/>
          <w:lang w:val="ru-RU"/>
        </w:rPr>
        <w:t>».</w:t>
      </w:r>
    </w:p>
    <w:p w14:paraId="69A15630" w14:textId="530AF97A" w:rsidR="000547AB" w:rsidRPr="00CE79B0" w:rsidRDefault="00D61B05" w:rsidP="004A6C23">
      <w:pPr>
        <w:tabs>
          <w:tab w:val="left" w:pos="851"/>
          <w:tab w:val="left" w:pos="5940"/>
        </w:tabs>
        <w:spacing w:after="0" w:line="240" w:lineRule="auto"/>
        <w:ind w:firstLine="709"/>
        <w:jc w:val="both"/>
        <w:rPr>
          <w:rStyle w:val="s0"/>
          <w:sz w:val="28"/>
          <w:szCs w:val="28"/>
          <w:lang w:val="ru-RU"/>
        </w:rPr>
      </w:pPr>
      <w:r w:rsidRPr="00CE79B0">
        <w:rPr>
          <w:rStyle w:val="s0"/>
          <w:sz w:val="28"/>
          <w:szCs w:val="28"/>
          <w:lang w:val="ru-RU"/>
        </w:rPr>
        <w:t>2.</w:t>
      </w:r>
      <w:r w:rsidR="000547AB" w:rsidRPr="00CE79B0">
        <w:rPr>
          <w:rStyle w:val="s0"/>
          <w:sz w:val="28"/>
          <w:szCs w:val="28"/>
          <w:lang w:val="ru-RU"/>
        </w:rPr>
        <w:t xml:space="preserve"> План действий по реализации Концепции развития малого и среднего предпринимательства в Республике Казахстан до 2030 года</w:t>
      </w:r>
      <w:r w:rsidR="00F00F78">
        <w:rPr>
          <w:rStyle w:val="s0"/>
          <w:sz w:val="28"/>
          <w:szCs w:val="28"/>
          <w:lang w:val="ru-RU"/>
        </w:rPr>
        <w:t xml:space="preserve">, утвержденный указанным постановлением </w:t>
      </w:r>
      <w:r w:rsidR="000547AB" w:rsidRPr="00CE79B0">
        <w:rPr>
          <w:rStyle w:val="s0"/>
          <w:sz w:val="28"/>
          <w:szCs w:val="28"/>
          <w:lang w:val="ru-RU"/>
        </w:rPr>
        <w:t>изложить в новой редакции согласно приложению к настоящему постановлению.</w:t>
      </w:r>
      <w:bookmarkStart w:id="0" w:name="_GoBack"/>
      <w:bookmarkEnd w:id="0"/>
    </w:p>
    <w:p w14:paraId="5C6E5646" w14:textId="30EA9AA6" w:rsidR="00314761" w:rsidRPr="00CE79B0" w:rsidRDefault="00D61B05" w:rsidP="004A6C23">
      <w:pPr>
        <w:spacing w:after="0" w:line="240" w:lineRule="auto"/>
        <w:ind w:firstLine="709"/>
        <w:contextualSpacing/>
        <w:jc w:val="both"/>
        <w:rPr>
          <w:rFonts w:ascii="Times New Roman" w:hAnsi="Times New Roman" w:cs="Times New Roman"/>
          <w:sz w:val="28"/>
          <w:szCs w:val="28"/>
        </w:rPr>
      </w:pPr>
      <w:r w:rsidRPr="00CE79B0">
        <w:rPr>
          <w:rFonts w:ascii="Times New Roman" w:hAnsi="Times New Roman" w:cs="Times New Roman"/>
          <w:sz w:val="28"/>
          <w:szCs w:val="28"/>
        </w:rPr>
        <w:lastRenderedPageBreak/>
        <w:t>3</w:t>
      </w:r>
      <w:r w:rsidR="005F2D80" w:rsidRPr="00CE79B0">
        <w:rPr>
          <w:rFonts w:ascii="Times New Roman" w:hAnsi="Times New Roman" w:cs="Times New Roman"/>
          <w:sz w:val="28"/>
          <w:szCs w:val="28"/>
        </w:rPr>
        <w:t>. Настоящее постановление вводится в действие по истечении десяти календарных дней после дня его первого официального опубликования.</w:t>
      </w:r>
    </w:p>
    <w:p w14:paraId="0FF0B62A" w14:textId="77777777" w:rsidR="006C7AA0" w:rsidRPr="00CE79B0" w:rsidRDefault="006C7AA0" w:rsidP="004A6C23">
      <w:pPr>
        <w:spacing w:after="0" w:line="240" w:lineRule="auto"/>
        <w:ind w:firstLine="709"/>
        <w:contextualSpacing/>
        <w:jc w:val="both"/>
        <w:rPr>
          <w:rFonts w:ascii="Times New Roman" w:hAnsi="Times New Roman" w:cs="Times New Roman"/>
          <w:sz w:val="28"/>
          <w:szCs w:val="28"/>
        </w:rPr>
      </w:pPr>
    </w:p>
    <w:p w14:paraId="208930F7" w14:textId="77777777" w:rsidR="00FA756B" w:rsidRPr="00CE79B0" w:rsidRDefault="00FA756B" w:rsidP="00310335">
      <w:pPr>
        <w:spacing w:after="0" w:line="240" w:lineRule="auto"/>
        <w:ind w:firstLine="708"/>
        <w:contextualSpacing/>
        <w:jc w:val="both"/>
        <w:rPr>
          <w:rFonts w:ascii="Times New Roman" w:hAnsi="Times New Roman" w:cs="Times New Roman"/>
          <w:sz w:val="28"/>
          <w:szCs w:val="28"/>
        </w:rPr>
      </w:pPr>
    </w:p>
    <w:p w14:paraId="4A28470D" w14:textId="2C717F83" w:rsidR="004239F4" w:rsidRPr="00CE79B0" w:rsidRDefault="004239F4" w:rsidP="00310335">
      <w:pPr>
        <w:spacing w:after="0" w:line="240" w:lineRule="auto"/>
        <w:ind w:firstLine="709"/>
        <w:jc w:val="both"/>
        <w:rPr>
          <w:rFonts w:ascii="Times New Roman" w:hAnsi="Times New Roman" w:cs="Times New Roman"/>
          <w:b/>
          <w:sz w:val="28"/>
          <w:szCs w:val="28"/>
        </w:rPr>
      </w:pPr>
      <w:bookmarkStart w:id="1" w:name="z4"/>
      <w:r w:rsidRPr="00CE79B0">
        <w:rPr>
          <w:rFonts w:ascii="Times New Roman" w:hAnsi="Times New Roman" w:cs="Times New Roman"/>
          <w:b/>
          <w:sz w:val="28"/>
          <w:szCs w:val="28"/>
        </w:rPr>
        <w:t>Премьер-Министр</w:t>
      </w:r>
    </w:p>
    <w:p w14:paraId="2D6FBAA5" w14:textId="67FDC492" w:rsidR="002C4D4E" w:rsidRPr="00372214" w:rsidRDefault="00833162" w:rsidP="00310335">
      <w:pPr>
        <w:spacing w:after="0" w:line="240" w:lineRule="auto"/>
        <w:jc w:val="both"/>
        <w:rPr>
          <w:rFonts w:ascii="Times New Roman" w:hAnsi="Times New Roman" w:cs="Times New Roman"/>
          <w:b/>
          <w:sz w:val="28"/>
          <w:szCs w:val="28"/>
        </w:rPr>
      </w:pPr>
      <w:r w:rsidRPr="00CE79B0">
        <w:rPr>
          <w:rFonts w:ascii="Times New Roman" w:hAnsi="Times New Roman" w:cs="Times New Roman"/>
          <w:b/>
          <w:sz w:val="28"/>
          <w:szCs w:val="28"/>
        </w:rPr>
        <w:t xml:space="preserve">      </w:t>
      </w:r>
      <w:r w:rsidR="004239F4" w:rsidRPr="00CE79B0">
        <w:rPr>
          <w:rFonts w:ascii="Times New Roman" w:hAnsi="Times New Roman" w:cs="Times New Roman"/>
          <w:b/>
          <w:sz w:val="28"/>
          <w:szCs w:val="28"/>
        </w:rPr>
        <w:t>Республики Казахстан</w:t>
      </w:r>
      <w:r w:rsidR="004239F4" w:rsidRPr="00CE79B0">
        <w:rPr>
          <w:rFonts w:ascii="Times New Roman" w:hAnsi="Times New Roman" w:cs="Times New Roman"/>
          <w:b/>
          <w:sz w:val="28"/>
          <w:szCs w:val="28"/>
        </w:rPr>
        <w:tab/>
      </w:r>
      <w:r w:rsidR="004239F4" w:rsidRPr="00CE79B0">
        <w:rPr>
          <w:rFonts w:ascii="Times New Roman" w:hAnsi="Times New Roman" w:cs="Times New Roman"/>
          <w:b/>
          <w:sz w:val="28"/>
          <w:szCs w:val="28"/>
        </w:rPr>
        <w:tab/>
      </w:r>
      <w:r w:rsidR="004239F4" w:rsidRPr="00CE79B0">
        <w:rPr>
          <w:rFonts w:ascii="Times New Roman" w:hAnsi="Times New Roman" w:cs="Times New Roman"/>
          <w:b/>
          <w:sz w:val="28"/>
          <w:szCs w:val="28"/>
        </w:rPr>
        <w:tab/>
      </w:r>
      <w:r w:rsidR="004239F4" w:rsidRPr="00CE79B0">
        <w:rPr>
          <w:rFonts w:ascii="Times New Roman" w:hAnsi="Times New Roman" w:cs="Times New Roman"/>
          <w:b/>
          <w:sz w:val="28"/>
          <w:szCs w:val="28"/>
        </w:rPr>
        <w:tab/>
      </w:r>
      <w:r w:rsidR="004239F4" w:rsidRPr="00CE79B0">
        <w:rPr>
          <w:rFonts w:ascii="Times New Roman" w:hAnsi="Times New Roman" w:cs="Times New Roman"/>
          <w:b/>
          <w:sz w:val="28"/>
          <w:szCs w:val="28"/>
        </w:rPr>
        <w:tab/>
        <w:t xml:space="preserve">     </w:t>
      </w:r>
      <w:r w:rsidR="004239F4" w:rsidRPr="00CE79B0">
        <w:rPr>
          <w:rFonts w:ascii="Times New Roman" w:hAnsi="Times New Roman" w:cs="Times New Roman"/>
          <w:b/>
          <w:sz w:val="28"/>
          <w:szCs w:val="28"/>
        </w:rPr>
        <w:tab/>
        <w:t xml:space="preserve">  </w:t>
      </w:r>
      <w:r w:rsidRPr="00CE79B0">
        <w:rPr>
          <w:rFonts w:ascii="Times New Roman" w:hAnsi="Times New Roman" w:cs="Times New Roman"/>
          <w:b/>
          <w:sz w:val="28"/>
          <w:szCs w:val="28"/>
        </w:rPr>
        <w:t xml:space="preserve">           </w:t>
      </w:r>
      <w:r w:rsidR="004239F4" w:rsidRPr="00CE79B0">
        <w:rPr>
          <w:rFonts w:ascii="Times New Roman" w:hAnsi="Times New Roman" w:cs="Times New Roman"/>
          <w:b/>
          <w:sz w:val="28"/>
          <w:szCs w:val="28"/>
        </w:rPr>
        <w:t xml:space="preserve">  А. </w:t>
      </w:r>
      <w:bookmarkEnd w:id="1"/>
      <w:r w:rsidR="00672029" w:rsidRPr="00CE79B0">
        <w:rPr>
          <w:rFonts w:ascii="Times New Roman" w:hAnsi="Times New Roman" w:cs="Times New Roman"/>
          <w:b/>
          <w:sz w:val="28"/>
          <w:szCs w:val="28"/>
        </w:rPr>
        <w:t>Смаилов</w:t>
      </w:r>
      <w:r w:rsidR="00FA756B" w:rsidRPr="00372214">
        <w:rPr>
          <w:rFonts w:ascii="Times New Roman" w:hAnsi="Times New Roman" w:cs="Times New Roman"/>
          <w:b/>
          <w:sz w:val="28"/>
          <w:szCs w:val="28"/>
        </w:rPr>
        <w:t xml:space="preserve"> </w:t>
      </w:r>
    </w:p>
    <w:p w14:paraId="3A45FC5A" w14:textId="77777777" w:rsidR="002E7086" w:rsidRPr="00372214" w:rsidRDefault="002E7086" w:rsidP="00372214">
      <w:pPr>
        <w:spacing w:after="0" w:line="240" w:lineRule="auto"/>
        <w:ind w:left="5387"/>
        <w:jc w:val="center"/>
        <w:rPr>
          <w:rFonts w:ascii="Times New Roman" w:hAnsi="Times New Roman" w:cs="Times New Roman"/>
          <w:sz w:val="28"/>
          <w:szCs w:val="28"/>
        </w:rPr>
      </w:pPr>
    </w:p>
    <w:sectPr w:rsidR="002E7086" w:rsidRPr="00372214" w:rsidSect="00CA7CB6">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2219C" w14:textId="77777777" w:rsidR="001C0D91" w:rsidRDefault="001C0D91" w:rsidP="005119A0">
      <w:pPr>
        <w:spacing w:after="0" w:line="240" w:lineRule="auto"/>
      </w:pPr>
      <w:r>
        <w:separator/>
      </w:r>
    </w:p>
  </w:endnote>
  <w:endnote w:type="continuationSeparator" w:id="0">
    <w:p w14:paraId="5500FD43" w14:textId="77777777" w:rsidR="001C0D91" w:rsidRDefault="001C0D91" w:rsidP="0051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E06B9" w14:textId="77777777" w:rsidR="001C0D91" w:rsidRDefault="001C0D91" w:rsidP="005119A0">
      <w:pPr>
        <w:spacing w:after="0" w:line="240" w:lineRule="auto"/>
      </w:pPr>
      <w:r>
        <w:separator/>
      </w:r>
    </w:p>
  </w:footnote>
  <w:footnote w:type="continuationSeparator" w:id="0">
    <w:p w14:paraId="07840EF3" w14:textId="77777777" w:rsidR="001C0D91" w:rsidRDefault="001C0D91" w:rsidP="005119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1788992"/>
      <w:docPartObj>
        <w:docPartGallery w:val="Page Numbers (Top of Page)"/>
        <w:docPartUnique/>
      </w:docPartObj>
    </w:sdtPr>
    <w:sdtEndPr>
      <w:rPr>
        <w:rFonts w:ascii="Times New Roman" w:hAnsi="Times New Roman" w:cs="Times New Roman"/>
        <w:sz w:val="24"/>
        <w:szCs w:val="24"/>
      </w:rPr>
    </w:sdtEndPr>
    <w:sdtContent>
      <w:p w14:paraId="114FDC14" w14:textId="7A5E325A" w:rsidR="002A4D8E" w:rsidRPr="005119A0" w:rsidRDefault="002A4D8E">
        <w:pPr>
          <w:pStyle w:val="a7"/>
          <w:jc w:val="center"/>
          <w:rPr>
            <w:rFonts w:ascii="Times New Roman" w:hAnsi="Times New Roman" w:cs="Times New Roman"/>
            <w:sz w:val="24"/>
            <w:szCs w:val="24"/>
          </w:rPr>
        </w:pPr>
        <w:r w:rsidRPr="005119A0">
          <w:rPr>
            <w:rFonts w:ascii="Times New Roman" w:hAnsi="Times New Roman" w:cs="Times New Roman"/>
            <w:sz w:val="24"/>
            <w:szCs w:val="24"/>
          </w:rPr>
          <w:fldChar w:fldCharType="begin"/>
        </w:r>
        <w:r w:rsidRPr="005119A0">
          <w:rPr>
            <w:rFonts w:ascii="Times New Roman" w:hAnsi="Times New Roman" w:cs="Times New Roman"/>
            <w:sz w:val="24"/>
            <w:szCs w:val="24"/>
          </w:rPr>
          <w:instrText>PAGE   \* MERGEFORMAT</w:instrText>
        </w:r>
        <w:r w:rsidRPr="005119A0">
          <w:rPr>
            <w:rFonts w:ascii="Times New Roman" w:hAnsi="Times New Roman" w:cs="Times New Roman"/>
            <w:sz w:val="24"/>
            <w:szCs w:val="24"/>
          </w:rPr>
          <w:fldChar w:fldCharType="separate"/>
        </w:r>
        <w:r w:rsidR="00F00F78">
          <w:rPr>
            <w:rFonts w:ascii="Times New Roman" w:hAnsi="Times New Roman" w:cs="Times New Roman"/>
            <w:noProof/>
            <w:sz w:val="24"/>
            <w:szCs w:val="24"/>
          </w:rPr>
          <w:t>10</w:t>
        </w:r>
        <w:r w:rsidRPr="005119A0">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6256EB"/>
    <w:multiLevelType w:val="hybridMultilevel"/>
    <w:tmpl w:val="BC467B76"/>
    <w:lvl w:ilvl="0" w:tplc="CF80FC16">
      <w:start w:val="1"/>
      <w:numFmt w:val="decimal"/>
      <w:lvlText w:val="%1)"/>
      <w:lvlJc w:val="left"/>
      <w:pPr>
        <w:ind w:left="6314" w:hanging="360"/>
      </w:pPr>
      <w:rPr>
        <w:rFonts w:ascii="Times New Roman" w:hAnsi="Times New Roman" w:cs="Times New Roman" w:hint="default"/>
        <w:sz w:val="28"/>
        <w:szCs w:val="28"/>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7A45080C"/>
    <w:multiLevelType w:val="hybridMultilevel"/>
    <w:tmpl w:val="E2E2ADA6"/>
    <w:lvl w:ilvl="0" w:tplc="D5B64F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EC7"/>
    <w:rsid w:val="000014DD"/>
    <w:rsid w:val="00004DDE"/>
    <w:rsid w:val="00012933"/>
    <w:rsid w:val="00013D51"/>
    <w:rsid w:val="00022326"/>
    <w:rsid w:val="00023F6C"/>
    <w:rsid w:val="000324F5"/>
    <w:rsid w:val="00034157"/>
    <w:rsid w:val="00040111"/>
    <w:rsid w:val="00044452"/>
    <w:rsid w:val="00047E39"/>
    <w:rsid w:val="000547AB"/>
    <w:rsid w:val="0005489D"/>
    <w:rsid w:val="00060511"/>
    <w:rsid w:val="000633FF"/>
    <w:rsid w:val="00064C7E"/>
    <w:rsid w:val="000673A6"/>
    <w:rsid w:val="00094A15"/>
    <w:rsid w:val="00094D01"/>
    <w:rsid w:val="000A43AD"/>
    <w:rsid w:val="000C7BC9"/>
    <w:rsid w:val="000D1011"/>
    <w:rsid w:val="00112B04"/>
    <w:rsid w:val="001233CF"/>
    <w:rsid w:val="00123CC9"/>
    <w:rsid w:val="0012654B"/>
    <w:rsid w:val="00131E63"/>
    <w:rsid w:val="0013609D"/>
    <w:rsid w:val="001425AF"/>
    <w:rsid w:val="00145EE1"/>
    <w:rsid w:val="001477AF"/>
    <w:rsid w:val="00151207"/>
    <w:rsid w:val="0015241B"/>
    <w:rsid w:val="001524C8"/>
    <w:rsid w:val="001536D1"/>
    <w:rsid w:val="0016562B"/>
    <w:rsid w:val="00165CFA"/>
    <w:rsid w:val="00165E00"/>
    <w:rsid w:val="0018107D"/>
    <w:rsid w:val="00184904"/>
    <w:rsid w:val="001969F3"/>
    <w:rsid w:val="00197F3A"/>
    <w:rsid w:val="001B2FF3"/>
    <w:rsid w:val="001B430C"/>
    <w:rsid w:val="001C0D91"/>
    <w:rsid w:val="001C349E"/>
    <w:rsid w:val="001C3C02"/>
    <w:rsid w:val="001D5291"/>
    <w:rsid w:val="001D53E9"/>
    <w:rsid w:val="001E493A"/>
    <w:rsid w:val="001F41BB"/>
    <w:rsid w:val="002036A1"/>
    <w:rsid w:val="002140D0"/>
    <w:rsid w:val="00214EB1"/>
    <w:rsid w:val="0021799C"/>
    <w:rsid w:val="002234D7"/>
    <w:rsid w:val="00227E8E"/>
    <w:rsid w:val="0023381F"/>
    <w:rsid w:val="00241453"/>
    <w:rsid w:val="00243CEE"/>
    <w:rsid w:val="002472E3"/>
    <w:rsid w:val="00250C79"/>
    <w:rsid w:val="00256422"/>
    <w:rsid w:val="00262724"/>
    <w:rsid w:val="0026629B"/>
    <w:rsid w:val="0026748C"/>
    <w:rsid w:val="00272C90"/>
    <w:rsid w:val="00273EC7"/>
    <w:rsid w:val="002742EF"/>
    <w:rsid w:val="00274308"/>
    <w:rsid w:val="00275908"/>
    <w:rsid w:val="0028739D"/>
    <w:rsid w:val="002944E2"/>
    <w:rsid w:val="00297102"/>
    <w:rsid w:val="002A4D8E"/>
    <w:rsid w:val="002A618A"/>
    <w:rsid w:val="002B14DB"/>
    <w:rsid w:val="002B1E98"/>
    <w:rsid w:val="002B7678"/>
    <w:rsid w:val="002C1AF3"/>
    <w:rsid w:val="002C4D4E"/>
    <w:rsid w:val="002D0DFF"/>
    <w:rsid w:val="002D28F9"/>
    <w:rsid w:val="002D6CA6"/>
    <w:rsid w:val="002E11EC"/>
    <w:rsid w:val="002E44C6"/>
    <w:rsid w:val="002E6815"/>
    <w:rsid w:val="002E7086"/>
    <w:rsid w:val="002E7943"/>
    <w:rsid w:val="002F7D1D"/>
    <w:rsid w:val="00310335"/>
    <w:rsid w:val="0031347B"/>
    <w:rsid w:val="00314761"/>
    <w:rsid w:val="00331AA3"/>
    <w:rsid w:val="00351B4C"/>
    <w:rsid w:val="003568C6"/>
    <w:rsid w:val="003576DC"/>
    <w:rsid w:val="00361B40"/>
    <w:rsid w:val="00364BE2"/>
    <w:rsid w:val="00370F07"/>
    <w:rsid w:val="00372214"/>
    <w:rsid w:val="00373A32"/>
    <w:rsid w:val="00386D0E"/>
    <w:rsid w:val="00396831"/>
    <w:rsid w:val="003A0358"/>
    <w:rsid w:val="003A2C21"/>
    <w:rsid w:val="003A3953"/>
    <w:rsid w:val="003C0C9B"/>
    <w:rsid w:val="003C1ED7"/>
    <w:rsid w:val="003C2630"/>
    <w:rsid w:val="003C28BE"/>
    <w:rsid w:val="003C5B0C"/>
    <w:rsid w:val="003D12E8"/>
    <w:rsid w:val="003D2D0B"/>
    <w:rsid w:val="003D3CCE"/>
    <w:rsid w:val="003D4CA6"/>
    <w:rsid w:val="003D5D03"/>
    <w:rsid w:val="003E04B7"/>
    <w:rsid w:val="003E1C1C"/>
    <w:rsid w:val="003E25F5"/>
    <w:rsid w:val="004001EC"/>
    <w:rsid w:val="004052D5"/>
    <w:rsid w:val="00406DAF"/>
    <w:rsid w:val="00410248"/>
    <w:rsid w:val="00420CA0"/>
    <w:rsid w:val="00420CB7"/>
    <w:rsid w:val="00421260"/>
    <w:rsid w:val="00422DF7"/>
    <w:rsid w:val="004239F4"/>
    <w:rsid w:val="0043740B"/>
    <w:rsid w:val="00437BF7"/>
    <w:rsid w:val="0045137A"/>
    <w:rsid w:val="00456DD4"/>
    <w:rsid w:val="00461897"/>
    <w:rsid w:val="0046730D"/>
    <w:rsid w:val="00470876"/>
    <w:rsid w:val="00472C98"/>
    <w:rsid w:val="0047399D"/>
    <w:rsid w:val="00477DEC"/>
    <w:rsid w:val="004831E2"/>
    <w:rsid w:val="004866B0"/>
    <w:rsid w:val="00487773"/>
    <w:rsid w:val="004A0531"/>
    <w:rsid w:val="004A6C23"/>
    <w:rsid w:val="004B1399"/>
    <w:rsid w:val="004B3649"/>
    <w:rsid w:val="004B6C5B"/>
    <w:rsid w:val="004C1B4B"/>
    <w:rsid w:val="004C23AC"/>
    <w:rsid w:val="004C3C39"/>
    <w:rsid w:val="004C4AC7"/>
    <w:rsid w:val="004D2625"/>
    <w:rsid w:val="004D36EF"/>
    <w:rsid w:val="004E39A5"/>
    <w:rsid w:val="004E5401"/>
    <w:rsid w:val="004E7EE4"/>
    <w:rsid w:val="004F228F"/>
    <w:rsid w:val="00504757"/>
    <w:rsid w:val="00510126"/>
    <w:rsid w:val="005119A0"/>
    <w:rsid w:val="00513866"/>
    <w:rsid w:val="00520C07"/>
    <w:rsid w:val="005220F6"/>
    <w:rsid w:val="005305C4"/>
    <w:rsid w:val="005334F6"/>
    <w:rsid w:val="005418FF"/>
    <w:rsid w:val="00541DF1"/>
    <w:rsid w:val="00546D48"/>
    <w:rsid w:val="0055469E"/>
    <w:rsid w:val="0055561B"/>
    <w:rsid w:val="0056458B"/>
    <w:rsid w:val="00571D0B"/>
    <w:rsid w:val="00574113"/>
    <w:rsid w:val="005748C2"/>
    <w:rsid w:val="00577395"/>
    <w:rsid w:val="00581557"/>
    <w:rsid w:val="005923A1"/>
    <w:rsid w:val="00594832"/>
    <w:rsid w:val="00594870"/>
    <w:rsid w:val="005962B9"/>
    <w:rsid w:val="005A00AE"/>
    <w:rsid w:val="005A1A50"/>
    <w:rsid w:val="005A1C52"/>
    <w:rsid w:val="005A3333"/>
    <w:rsid w:val="005D200C"/>
    <w:rsid w:val="005D34F5"/>
    <w:rsid w:val="005D5A26"/>
    <w:rsid w:val="005F17F7"/>
    <w:rsid w:val="005F2D80"/>
    <w:rsid w:val="005F52F9"/>
    <w:rsid w:val="005F7017"/>
    <w:rsid w:val="00601E24"/>
    <w:rsid w:val="0061340C"/>
    <w:rsid w:val="00614E2F"/>
    <w:rsid w:val="00617BA7"/>
    <w:rsid w:val="006335CF"/>
    <w:rsid w:val="006335F5"/>
    <w:rsid w:val="00636373"/>
    <w:rsid w:val="00636E61"/>
    <w:rsid w:val="0065067B"/>
    <w:rsid w:val="006554F9"/>
    <w:rsid w:val="006617D5"/>
    <w:rsid w:val="00672029"/>
    <w:rsid w:val="00674822"/>
    <w:rsid w:val="00676CD2"/>
    <w:rsid w:val="00677085"/>
    <w:rsid w:val="00680831"/>
    <w:rsid w:val="0068787C"/>
    <w:rsid w:val="006973FA"/>
    <w:rsid w:val="00697AA0"/>
    <w:rsid w:val="006A028F"/>
    <w:rsid w:val="006A71E4"/>
    <w:rsid w:val="006C2A01"/>
    <w:rsid w:val="006C7AA0"/>
    <w:rsid w:val="006C7FD8"/>
    <w:rsid w:val="006D62EE"/>
    <w:rsid w:val="006E065B"/>
    <w:rsid w:val="006E3306"/>
    <w:rsid w:val="006E3380"/>
    <w:rsid w:val="006E65C8"/>
    <w:rsid w:val="006E6ABB"/>
    <w:rsid w:val="006F43F3"/>
    <w:rsid w:val="006F6ED5"/>
    <w:rsid w:val="007007FA"/>
    <w:rsid w:val="0070120F"/>
    <w:rsid w:val="00701753"/>
    <w:rsid w:val="00711AB6"/>
    <w:rsid w:val="007130D4"/>
    <w:rsid w:val="0071649A"/>
    <w:rsid w:val="00717767"/>
    <w:rsid w:val="00733DEA"/>
    <w:rsid w:val="007459B4"/>
    <w:rsid w:val="0075591B"/>
    <w:rsid w:val="00756337"/>
    <w:rsid w:val="00761993"/>
    <w:rsid w:val="00762DCD"/>
    <w:rsid w:val="00763281"/>
    <w:rsid w:val="00785124"/>
    <w:rsid w:val="00786308"/>
    <w:rsid w:val="00793A86"/>
    <w:rsid w:val="00795592"/>
    <w:rsid w:val="0079692B"/>
    <w:rsid w:val="0079788C"/>
    <w:rsid w:val="007A004C"/>
    <w:rsid w:val="007A7B8C"/>
    <w:rsid w:val="007B042D"/>
    <w:rsid w:val="007B0D99"/>
    <w:rsid w:val="007B1934"/>
    <w:rsid w:val="007B4F6D"/>
    <w:rsid w:val="007B5212"/>
    <w:rsid w:val="007B771C"/>
    <w:rsid w:val="007C5801"/>
    <w:rsid w:val="007C6711"/>
    <w:rsid w:val="007D2273"/>
    <w:rsid w:val="007D4CFB"/>
    <w:rsid w:val="007E0BE2"/>
    <w:rsid w:val="007E48F3"/>
    <w:rsid w:val="007F0154"/>
    <w:rsid w:val="007F281F"/>
    <w:rsid w:val="007F7384"/>
    <w:rsid w:val="008070BD"/>
    <w:rsid w:val="00815180"/>
    <w:rsid w:val="008201BB"/>
    <w:rsid w:val="00833162"/>
    <w:rsid w:val="0083528B"/>
    <w:rsid w:val="008364C5"/>
    <w:rsid w:val="008433E9"/>
    <w:rsid w:val="00846FA2"/>
    <w:rsid w:val="00855587"/>
    <w:rsid w:val="0085685B"/>
    <w:rsid w:val="008650B9"/>
    <w:rsid w:val="0087660F"/>
    <w:rsid w:val="008775C5"/>
    <w:rsid w:val="0088103A"/>
    <w:rsid w:val="00881600"/>
    <w:rsid w:val="0089033E"/>
    <w:rsid w:val="008A0998"/>
    <w:rsid w:val="008A6BBF"/>
    <w:rsid w:val="008B6F0F"/>
    <w:rsid w:val="008C3876"/>
    <w:rsid w:val="008C7BAB"/>
    <w:rsid w:val="008D2F1C"/>
    <w:rsid w:val="008D3CFE"/>
    <w:rsid w:val="008D4B42"/>
    <w:rsid w:val="008E26AD"/>
    <w:rsid w:val="008E5057"/>
    <w:rsid w:val="008E5C46"/>
    <w:rsid w:val="008F5A4A"/>
    <w:rsid w:val="0090336E"/>
    <w:rsid w:val="00906648"/>
    <w:rsid w:val="009113A5"/>
    <w:rsid w:val="00913EEE"/>
    <w:rsid w:val="009220C8"/>
    <w:rsid w:val="009237D8"/>
    <w:rsid w:val="00927EE6"/>
    <w:rsid w:val="0093248F"/>
    <w:rsid w:val="0094124B"/>
    <w:rsid w:val="009419E8"/>
    <w:rsid w:val="00943BB6"/>
    <w:rsid w:val="0094443A"/>
    <w:rsid w:val="00962AB8"/>
    <w:rsid w:val="009656D8"/>
    <w:rsid w:val="00981AD8"/>
    <w:rsid w:val="00983951"/>
    <w:rsid w:val="00983BE8"/>
    <w:rsid w:val="009858D0"/>
    <w:rsid w:val="009A0815"/>
    <w:rsid w:val="009A4CB5"/>
    <w:rsid w:val="009A596B"/>
    <w:rsid w:val="009B35DD"/>
    <w:rsid w:val="009B4D5C"/>
    <w:rsid w:val="009C5154"/>
    <w:rsid w:val="009D14A1"/>
    <w:rsid w:val="009D1DCC"/>
    <w:rsid w:val="009E0BE1"/>
    <w:rsid w:val="009E5D48"/>
    <w:rsid w:val="00A03A40"/>
    <w:rsid w:val="00A1139F"/>
    <w:rsid w:val="00A26E21"/>
    <w:rsid w:val="00A2745E"/>
    <w:rsid w:val="00A33233"/>
    <w:rsid w:val="00A36C4B"/>
    <w:rsid w:val="00A455B6"/>
    <w:rsid w:val="00A4606F"/>
    <w:rsid w:val="00A5440F"/>
    <w:rsid w:val="00A60F80"/>
    <w:rsid w:val="00A630E9"/>
    <w:rsid w:val="00A6479E"/>
    <w:rsid w:val="00A64E4D"/>
    <w:rsid w:val="00A75081"/>
    <w:rsid w:val="00A76D9F"/>
    <w:rsid w:val="00A77E45"/>
    <w:rsid w:val="00A84EF3"/>
    <w:rsid w:val="00A877A0"/>
    <w:rsid w:val="00A941AF"/>
    <w:rsid w:val="00A94512"/>
    <w:rsid w:val="00AB2D01"/>
    <w:rsid w:val="00AB514B"/>
    <w:rsid w:val="00AB5AC1"/>
    <w:rsid w:val="00AC0616"/>
    <w:rsid w:val="00AD0A78"/>
    <w:rsid w:val="00AD5758"/>
    <w:rsid w:val="00AD79C4"/>
    <w:rsid w:val="00AE1E0B"/>
    <w:rsid w:val="00AF0DC3"/>
    <w:rsid w:val="00B11553"/>
    <w:rsid w:val="00B12DD7"/>
    <w:rsid w:val="00B21C8B"/>
    <w:rsid w:val="00B25B16"/>
    <w:rsid w:val="00B327D5"/>
    <w:rsid w:val="00B46414"/>
    <w:rsid w:val="00B62162"/>
    <w:rsid w:val="00B66544"/>
    <w:rsid w:val="00B714F2"/>
    <w:rsid w:val="00B71877"/>
    <w:rsid w:val="00B71B00"/>
    <w:rsid w:val="00B77BBA"/>
    <w:rsid w:val="00B81ED1"/>
    <w:rsid w:val="00BA1A2B"/>
    <w:rsid w:val="00BB1376"/>
    <w:rsid w:val="00BB1462"/>
    <w:rsid w:val="00BB18D0"/>
    <w:rsid w:val="00BB18F9"/>
    <w:rsid w:val="00BC1FFB"/>
    <w:rsid w:val="00BC4E36"/>
    <w:rsid w:val="00BC5125"/>
    <w:rsid w:val="00BD1EFC"/>
    <w:rsid w:val="00BD3873"/>
    <w:rsid w:val="00BD4FA1"/>
    <w:rsid w:val="00BD69AD"/>
    <w:rsid w:val="00BE244D"/>
    <w:rsid w:val="00BE4171"/>
    <w:rsid w:val="00BE4C03"/>
    <w:rsid w:val="00BE524E"/>
    <w:rsid w:val="00BE7C0E"/>
    <w:rsid w:val="00BF0B51"/>
    <w:rsid w:val="00BF4515"/>
    <w:rsid w:val="00BF58D2"/>
    <w:rsid w:val="00C11C60"/>
    <w:rsid w:val="00C12D31"/>
    <w:rsid w:val="00C1475E"/>
    <w:rsid w:val="00C2314E"/>
    <w:rsid w:val="00C23957"/>
    <w:rsid w:val="00C251D2"/>
    <w:rsid w:val="00C307E2"/>
    <w:rsid w:val="00C4117F"/>
    <w:rsid w:val="00C41402"/>
    <w:rsid w:val="00C665CA"/>
    <w:rsid w:val="00C71184"/>
    <w:rsid w:val="00C762EC"/>
    <w:rsid w:val="00C8063A"/>
    <w:rsid w:val="00C846C1"/>
    <w:rsid w:val="00C90E8E"/>
    <w:rsid w:val="00CA2512"/>
    <w:rsid w:val="00CA7CB6"/>
    <w:rsid w:val="00CB0C3A"/>
    <w:rsid w:val="00CD3387"/>
    <w:rsid w:val="00CE79B0"/>
    <w:rsid w:val="00CF2C7A"/>
    <w:rsid w:val="00D0247A"/>
    <w:rsid w:val="00D02829"/>
    <w:rsid w:val="00D11E1D"/>
    <w:rsid w:val="00D1447F"/>
    <w:rsid w:val="00D23C4B"/>
    <w:rsid w:val="00D25208"/>
    <w:rsid w:val="00D30FBA"/>
    <w:rsid w:val="00D4298F"/>
    <w:rsid w:val="00D42F02"/>
    <w:rsid w:val="00D43B79"/>
    <w:rsid w:val="00D478DC"/>
    <w:rsid w:val="00D548FA"/>
    <w:rsid w:val="00D61B05"/>
    <w:rsid w:val="00D649D0"/>
    <w:rsid w:val="00D66749"/>
    <w:rsid w:val="00D72957"/>
    <w:rsid w:val="00D73ED7"/>
    <w:rsid w:val="00D76D05"/>
    <w:rsid w:val="00D8115F"/>
    <w:rsid w:val="00D81E1A"/>
    <w:rsid w:val="00D829CE"/>
    <w:rsid w:val="00D853AF"/>
    <w:rsid w:val="00D97399"/>
    <w:rsid w:val="00DA39E6"/>
    <w:rsid w:val="00DA3EF1"/>
    <w:rsid w:val="00DB3FFE"/>
    <w:rsid w:val="00DD06ED"/>
    <w:rsid w:val="00DE36C3"/>
    <w:rsid w:val="00DE3B9A"/>
    <w:rsid w:val="00DE42B3"/>
    <w:rsid w:val="00DF06B3"/>
    <w:rsid w:val="00DF7E76"/>
    <w:rsid w:val="00E01640"/>
    <w:rsid w:val="00E07FC7"/>
    <w:rsid w:val="00E14ABB"/>
    <w:rsid w:val="00E15D23"/>
    <w:rsid w:val="00E26DD2"/>
    <w:rsid w:val="00E34F8D"/>
    <w:rsid w:val="00E4029D"/>
    <w:rsid w:val="00E41826"/>
    <w:rsid w:val="00E448AD"/>
    <w:rsid w:val="00E60931"/>
    <w:rsid w:val="00E60F3D"/>
    <w:rsid w:val="00E616D1"/>
    <w:rsid w:val="00E67450"/>
    <w:rsid w:val="00E67BE8"/>
    <w:rsid w:val="00E75442"/>
    <w:rsid w:val="00E77B89"/>
    <w:rsid w:val="00E853B0"/>
    <w:rsid w:val="00E8698B"/>
    <w:rsid w:val="00E94D3C"/>
    <w:rsid w:val="00EA350E"/>
    <w:rsid w:val="00EA606B"/>
    <w:rsid w:val="00EA6D4A"/>
    <w:rsid w:val="00EA7970"/>
    <w:rsid w:val="00EB6838"/>
    <w:rsid w:val="00EC1962"/>
    <w:rsid w:val="00ED31E5"/>
    <w:rsid w:val="00EE6D69"/>
    <w:rsid w:val="00F00F78"/>
    <w:rsid w:val="00F010FF"/>
    <w:rsid w:val="00F11665"/>
    <w:rsid w:val="00F126EE"/>
    <w:rsid w:val="00F26472"/>
    <w:rsid w:val="00F27426"/>
    <w:rsid w:val="00F33570"/>
    <w:rsid w:val="00F3733C"/>
    <w:rsid w:val="00F438AC"/>
    <w:rsid w:val="00F55834"/>
    <w:rsid w:val="00F710D0"/>
    <w:rsid w:val="00F82741"/>
    <w:rsid w:val="00F84F91"/>
    <w:rsid w:val="00F91F47"/>
    <w:rsid w:val="00FA6E6E"/>
    <w:rsid w:val="00FA756B"/>
    <w:rsid w:val="00FB3E27"/>
    <w:rsid w:val="00FB7ABB"/>
    <w:rsid w:val="00FC2950"/>
    <w:rsid w:val="00FD205E"/>
    <w:rsid w:val="00FD3E10"/>
    <w:rsid w:val="00FD48F0"/>
    <w:rsid w:val="00FD6066"/>
    <w:rsid w:val="00FF002B"/>
    <w:rsid w:val="00FF5627"/>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09C0B"/>
  <w15:docId w15:val="{E746DBD1-BF5B-4276-B900-2737DAE72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8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273EC7"/>
    <w:rPr>
      <w:rFonts w:ascii="Times New Roman" w:hAnsi="Times New Roman" w:cs="Times New Roman" w:hint="default"/>
      <w:b/>
      <w:bCs/>
      <w:color w:val="000000"/>
    </w:rPr>
  </w:style>
  <w:style w:type="paragraph" w:styleId="a3">
    <w:name w:val="List Paragraph"/>
    <w:aliases w:val="Абзац,Heading1,Colorful List - Accent 11,Colorful List - Accent 11CxSpLast,H1-1,Абзац с отступом,маркированный,Перечисление,Bullet List,FooterText,numbered,List Paragraph,Bullets before,Elenco Normale,Список 1,Средняя сетка 1 - Акцент 21"/>
    <w:basedOn w:val="a"/>
    <w:link w:val="a4"/>
    <w:uiPriority w:val="34"/>
    <w:qFormat/>
    <w:rsid w:val="00273EC7"/>
    <w:pPr>
      <w:ind w:left="720"/>
      <w:contextualSpacing/>
    </w:pPr>
  </w:style>
  <w:style w:type="character" w:customStyle="1" w:styleId="a4">
    <w:name w:val="Абзац списка Знак"/>
    <w:aliases w:val="Абзац Знак,Heading1 Знак,Colorful List - Accent 11 Знак,Colorful List - Accent 11CxSpLast Знак,H1-1 Знак,Абзац с отступом Знак,маркированный Знак,Перечисление Знак,Bullet List Знак,FooterText Знак,numbered Знак,List Paragraph Знак"/>
    <w:link w:val="a3"/>
    <w:uiPriority w:val="99"/>
    <w:locked/>
    <w:rsid w:val="00273EC7"/>
  </w:style>
  <w:style w:type="character" w:styleId="a5">
    <w:name w:val="Hyperlink"/>
    <w:uiPriority w:val="99"/>
    <w:semiHidden/>
    <w:unhideWhenUsed/>
    <w:rsid w:val="00273EC7"/>
    <w:rPr>
      <w:color w:val="333399"/>
      <w:u w:val="single"/>
    </w:rPr>
  </w:style>
  <w:style w:type="character" w:customStyle="1" w:styleId="s2">
    <w:name w:val="s2"/>
    <w:rsid w:val="00273EC7"/>
    <w:rPr>
      <w:rFonts w:ascii="Times New Roman" w:hAnsi="Times New Roman" w:cs="Times New Roman" w:hint="default"/>
      <w:color w:val="333399"/>
      <w:u w:val="single"/>
    </w:rPr>
  </w:style>
  <w:style w:type="character" w:customStyle="1" w:styleId="s0">
    <w:name w:val="s0"/>
    <w:rsid w:val="00273EC7"/>
    <w:rPr>
      <w:rFonts w:ascii="Times New Roman" w:eastAsia="SimSun" w:hAnsi="Times New Roman" w:cs="Times New Roman"/>
      <w:color w:val="000000"/>
      <w:sz w:val="20"/>
      <w:szCs w:val="20"/>
      <w:u w:val="none"/>
      <w:effect w:val="none"/>
      <w:lang w:val="en-US" w:eastAsia="en-US"/>
    </w:rPr>
  </w:style>
  <w:style w:type="character" w:customStyle="1" w:styleId="a6">
    <w:name w:val="a"/>
    <w:rsid w:val="00273EC7"/>
    <w:rPr>
      <w:color w:val="333399"/>
      <w:u w:val="single"/>
    </w:rPr>
  </w:style>
  <w:style w:type="paragraph" w:styleId="a7">
    <w:name w:val="header"/>
    <w:basedOn w:val="a"/>
    <w:link w:val="a8"/>
    <w:uiPriority w:val="99"/>
    <w:unhideWhenUsed/>
    <w:rsid w:val="005119A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119A0"/>
  </w:style>
  <w:style w:type="paragraph" w:styleId="a9">
    <w:name w:val="footer"/>
    <w:basedOn w:val="a"/>
    <w:link w:val="aa"/>
    <w:uiPriority w:val="99"/>
    <w:unhideWhenUsed/>
    <w:rsid w:val="005119A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119A0"/>
  </w:style>
  <w:style w:type="paragraph" w:styleId="ab">
    <w:name w:val="Balloon Text"/>
    <w:basedOn w:val="a"/>
    <w:link w:val="ac"/>
    <w:uiPriority w:val="99"/>
    <w:semiHidden/>
    <w:unhideWhenUsed/>
    <w:rsid w:val="002234D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234D7"/>
    <w:rPr>
      <w:rFonts w:ascii="Segoe UI" w:hAnsi="Segoe UI" w:cs="Segoe UI"/>
      <w:sz w:val="18"/>
      <w:szCs w:val="18"/>
    </w:rPr>
  </w:style>
  <w:style w:type="paragraph" w:styleId="ad">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Web)1,З"/>
    <w:basedOn w:val="a"/>
    <w:link w:val="ae"/>
    <w:uiPriority w:val="99"/>
    <w:unhideWhenUsed/>
    <w:qFormat/>
    <w:rsid w:val="004B13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
    <w:name w:val="pj"/>
    <w:basedOn w:val="a"/>
    <w:rsid w:val="00461897"/>
    <w:pPr>
      <w:spacing w:after="0" w:line="240" w:lineRule="auto"/>
      <w:ind w:firstLine="400"/>
      <w:jc w:val="both"/>
    </w:pPr>
    <w:rPr>
      <w:rFonts w:ascii="Times New Roman" w:eastAsia="Times New Roman" w:hAnsi="Times New Roman" w:cs="Times New Roman"/>
      <w:color w:val="000000"/>
      <w:sz w:val="24"/>
      <w:szCs w:val="24"/>
      <w:lang w:eastAsia="ru-RU"/>
    </w:rPr>
  </w:style>
  <w:style w:type="character" w:customStyle="1" w:styleId="ae">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Web)1 Знак,З Знак"/>
    <w:link w:val="ad"/>
    <w:uiPriority w:val="99"/>
    <w:locked/>
    <w:rsid w:val="00711AB6"/>
    <w:rPr>
      <w:rFonts w:ascii="Times New Roman" w:eastAsia="Times New Roman" w:hAnsi="Times New Roman" w:cs="Times New Roman"/>
      <w:sz w:val="24"/>
      <w:szCs w:val="24"/>
      <w:lang w:eastAsia="ru-RU"/>
    </w:rPr>
  </w:style>
  <w:style w:type="paragraph" w:customStyle="1" w:styleId="pc">
    <w:name w:val="pc"/>
    <w:basedOn w:val="a"/>
    <w:rsid w:val="00906648"/>
    <w:pPr>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pji">
    <w:name w:val="pji"/>
    <w:basedOn w:val="a"/>
    <w:rsid w:val="002E7086"/>
    <w:pPr>
      <w:spacing w:after="0" w:line="240" w:lineRule="auto"/>
      <w:jc w:val="both"/>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57428">
      <w:bodyDiv w:val="1"/>
      <w:marLeft w:val="0"/>
      <w:marRight w:val="0"/>
      <w:marTop w:val="0"/>
      <w:marBottom w:val="0"/>
      <w:divBdr>
        <w:top w:val="none" w:sz="0" w:space="0" w:color="auto"/>
        <w:left w:val="none" w:sz="0" w:space="0" w:color="auto"/>
        <w:bottom w:val="none" w:sz="0" w:space="0" w:color="auto"/>
        <w:right w:val="none" w:sz="0" w:space="0" w:color="auto"/>
      </w:divBdr>
    </w:div>
    <w:div w:id="83234928">
      <w:bodyDiv w:val="1"/>
      <w:marLeft w:val="0"/>
      <w:marRight w:val="0"/>
      <w:marTop w:val="0"/>
      <w:marBottom w:val="0"/>
      <w:divBdr>
        <w:top w:val="none" w:sz="0" w:space="0" w:color="auto"/>
        <w:left w:val="none" w:sz="0" w:space="0" w:color="auto"/>
        <w:bottom w:val="none" w:sz="0" w:space="0" w:color="auto"/>
        <w:right w:val="none" w:sz="0" w:space="0" w:color="auto"/>
      </w:divBdr>
    </w:div>
    <w:div w:id="136149687">
      <w:bodyDiv w:val="1"/>
      <w:marLeft w:val="0"/>
      <w:marRight w:val="0"/>
      <w:marTop w:val="0"/>
      <w:marBottom w:val="0"/>
      <w:divBdr>
        <w:top w:val="none" w:sz="0" w:space="0" w:color="auto"/>
        <w:left w:val="none" w:sz="0" w:space="0" w:color="auto"/>
        <w:bottom w:val="none" w:sz="0" w:space="0" w:color="auto"/>
        <w:right w:val="none" w:sz="0" w:space="0" w:color="auto"/>
      </w:divBdr>
    </w:div>
    <w:div w:id="241720379">
      <w:bodyDiv w:val="1"/>
      <w:marLeft w:val="0"/>
      <w:marRight w:val="0"/>
      <w:marTop w:val="0"/>
      <w:marBottom w:val="0"/>
      <w:divBdr>
        <w:top w:val="none" w:sz="0" w:space="0" w:color="auto"/>
        <w:left w:val="none" w:sz="0" w:space="0" w:color="auto"/>
        <w:bottom w:val="none" w:sz="0" w:space="0" w:color="auto"/>
        <w:right w:val="none" w:sz="0" w:space="0" w:color="auto"/>
      </w:divBdr>
    </w:div>
    <w:div w:id="342437351">
      <w:bodyDiv w:val="1"/>
      <w:marLeft w:val="0"/>
      <w:marRight w:val="0"/>
      <w:marTop w:val="0"/>
      <w:marBottom w:val="0"/>
      <w:divBdr>
        <w:top w:val="none" w:sz="0" w:space="0" w:color="auto"/>
        <w:left w:val="none" w:sz="0" w:space="0" w:color="auto"/>
        <w:bottom w:val="none" w:sz="0" w:space="0" w:color="auto"/>
        <w:right w:val="none" w:sz="0" w:space="0" w:color="auto"/>
      </w:divBdr>
    </w:div>
    <w:div w:id="354038453">
      <w:bodyDiv w:val="1"/>
      <w:marLeft w:val="0"/>
      <w:marRight w:val="0"/>
      <w:marTop w:val="0"/>
      <w:marBottom w:val="0"/>
      <w:divBdr>
        <w:top w:val="none" w:sz="0" w:space="0" w:color="auto"/>
        <w:left w:val="none" w:sz="0" w:space="0" w:color="auto"/>
        <w:bottom w:val="none" w:sz="0" w:space="0" w:color="auto"/>
        <w:right w:val="none" w:sz="0" w:space="0" w:color="auto"/>
      </w:divBdr>
    </w:div>
    <w:div w:id="359861646">
      <w:bodyDiv w:val="1"/>
      <w:marLeft w:val="0"/>
      <w:marRight w:val="0"/>
      <w:marTop w:val="0"/>
      <w:marBottom w:val="0"/>
      <w:divBdr>
        <w:top w:val="none" w:sz="0" w:space="0" w:color="auto"/>
        <w:left w:val="none" w:sz="0" w:space="0" w:color="auto"/>
        <w:bottom w:val="none" w:sz="0" w:space="0" w:color="auto"/>
        <w:right w:val="none" w:sz="0" w:space="0" w:color="auto"/>
      </w:divBdr>
    </w:div>
    <w:div w:id="383801169">
      <w:bodyDiv w:val="1"/>
      <w:marLeft w:val="0"/>
      <w:marRight w:val="0"/>
      <w:marTop w:val="0"/>
      <w:marBottom w:val="0"/>
      <w:divBdr>
        <w:top w:val="none" w:sz="0" w:space="0" w:color="auto"/>
        <w:left w:val="none" w:sz="0" w:space="0" w:color="auto"/>
        <w:bottom w:val="none" w:sz="0" w:space="0" w:color="auto"/>
        <w:right w:val="none" w:sz="0" w:space="0" w:color="auto"/>
      </w:divBdr>
    </w:div>
    <w:div w:id="483863085">
      <w:bodyDiv w:val="1"/>
      <w:marLeft w:val="0"/>
      <w:marRight w:val="0"/>
      <w:marTop w:val="0"/>
      <w:marBottom w:val="0"/>
      <w:divBdr>
        <w:top w:val="none" w:sz="0" w:space="0" w:color="auto"/>
        <w:left w:val="none" w:sz="0" w:space="0" w:color="auto"/>
        <w:bottom w:val="none" w:sz="0" w:space="0" w:color="auto"/>
        <w:right w:val="none" w:sz="0" w:space="0" w:color="auto"/>
      </w:divBdr>
    </w:div>
    <w:div w:id="541938451">
      <w:bodyDiv w:val="1"/>
      <w:marLeft w:val="0"/>
      <w:marRight w:val="0"/>
      <w:marTop w:val="0"/>
      <w:marBottom w:val="0"/>
      <w:divBdr>
        <w:top w:val="none" w:sz="0" w:space="0" w:color="auto"/>
        <w:left w:val="none" w:sz="0" w:space="0" w:color="auto"/>
        <w:bottom w:val="none" w:sz="0" w:space="0" w:color="auto"/>
        <w:right w:val="none" w:sz="0" w:space="0" w:color="auto"/>
      </w:divBdr>
    </w:div>
    <w:div w:id="803814391">
      <w:bodyDiv w:val="1"/>
      <w:marLeft w:val="0"/>
      <w:marRight w:val="0"/>
      <w:marTop w:val="0"/>
      <w:marBottom w:val="0"/>
      <w:divBdr>
        <w:top w:val="none" w:sz="0" w:space="0" w:color="auto"/>
        <w:left w:val="none" w:sz="0" w:space="0" w:color="auto"/>
        <w:bottom w:val="none" w:sz="0" w:space="0" w:color="auto"/>
        <w:right w:val="none" w:sz="0" w:space="0" w:color="auto"/>
      </w:divBdr>
    </w:div>
    <w:div w:id="971790031">
      <w:bodyDiv w:val="1"/>
      <w:marLeft w:val="0"/>
      <w:marRight w:val="0"/>
      <w:marTop w:val="0"/>
      <w:marBottom w:val="0"/>
      <w:divBdr>
        <w:top w:val="none" w:sz="0" w:space="0" w:color="auto"/>
        <w:left w:val="none" w:sz="0" w:space="0" w:color="auto"/>
        <w:bottom w:val="none" w:sz="0" w:space="0" w:color="auto"/>
        <w:right w:val="none" w:sz="0" w:space="0" w:color="auto"/>
      </w:divBdr>
    </w:div>
    <w:div w:id="993797663">
      <w:bodyDiv w:val="1"/>
      <w:marLeft w:val="0"/>
      <w:marRight w:val="0"/>
      <w:marTop w:val="0"/>
      <w:marBottom w:val="0"/>
      <w:divBdr>
        <w:top w:val="none" w:sz="0" w:space="0" w:color="auto"/>
        <w:left w:val="none" w:sz="0" w:space="0" w:color="auto"/>
        <w:bottom w:val="none" w:sz="0" w:space="0" w:color="auto"/>
        <w:right w:val="none" w:sz="0" w:space="0" w:color="auto"/>
      </w:divBdr>
    </w:div>
    <w:div w:id="1009410925">
      <w:bodyDiv w:val="1"/>
      <w:marLeft w:val="0"/>
      <w:marRight w:val="0"/>
      <w:marTop w:val="0"/>
      <w:marBottom w:val="0"/>
      <w:divBdr>
        <w:top w:val="none" w:sz="0" w:space="0" w:color="auto"/>
        <w:left w:val="none" w:sz="0" w:space="0" w:color="auto"/>
        <w:bottom w:val="none" w:sz="0" w:space="0" w:color="auto"/>
        <w:right w:val="none" w:sz="0" w:space="0" w:color="auto"/>
      </w:divBdr>
    </w:div>
    <w:div w:id="1023021395">
      <w:bodyDiv w:val="1"/>
      <w:marLeft w:val="0"/>
      <w:marRight w:val="0"/>
      <w:marTop w:val="0"/>
      <w:marBottom w:val="0"/>
      <w:divBdr>
        <w:top w:val="none" w:sz="0" w:space="0" w:color="auto"/>
        <w:left w:val="none" w:sz="0" w:space="0" w:color="auto"/>
        <w:bottom w:val="none" w:sz="0" w:space="0" w:color="auto"/>
        <w:right w:val="none" w:sz="0" w:space="0" w:color="auto"/>
      </w:divBdr>
    </w:div>
    <w:div w:id="1123306364">
      <w:bodyDiv w:val="1"/>
      <w:marLeft w:val="0"/>
      <w:marRight w:val="0"/>
      <w:marTop w:val="0"/>
      <w:marBottom w:val="0"/>
      <w:divBdr>
        <w:top w:val="none" w:sz="0" w:space="0" w:color="auto"/>
        <w:left w:val="none" w:sz="0" w:space="0" w:color="auto"/>
        <w:bottom w:val="none" w:sz="0" w:space="0" w:color="auto"/>
        <w:right w:val="none" w:sz="0" w:space="0" w:color="auto"/>
      </w:divBdr>
    </w:div>
    <w:div w:id="1128007425">
      <w:bodyDiv w:val="1"/>
      <w:marLeft w:val="0"/>
      <w:marRight w:val="0"/>
      <w:marTop w:val="0"/>
      <w:marBottom w:val="0"/>
      <w:divBdr>
        <w:top w:val="none" w:sz="0" w:space="0" w:color="auto"/>
        <w:left w:val="none" w:sz="0" w:space="0" w:color="auto"/>
        <w:bottom w:val="none" w:sz="0" w:space="0" w:color="auto"/>
        <w:right w:val="none" w:sz="0" w:space="0" w:color="auto"/>
      </w:divBdr>
    </w:div>
    <w:div w:id="1250308981">
      <w:bodyDiv w:val="1"/>
      <w:marLeft w:val="0"/>
      <w:marRight w:val="0"/>
      <w:marTop w:val="0"/>
      <w:marBottom w:val="0"/>
      <w:divBdr>
        <w:top w:val="none" w:sz="0" w:space="0" w:color="auto"/>
        <w:left w:val="none" w:sz="0" w:space="0" w:color="auto"/>
        <w:bottom w:val="none" w:sz="0" w:space="0" w:color="auto"/>
        <w:right w:val="none" w:sz="0" w:space="0" w:color="auto"/>
      </w:divBdr>
    </w:div>
    <w:div w:id="1296715582">
      <w:bodyDiv w:val="1"/>
      <w:marLeft w:val="0"/>
      <w:marRight w:val="0"/>
      <w:marTop w:val="0"/>
      <w:marBottom w:val="0"/>
      <w:divBdr>
        <w:top w:val="none" w:sz="0" w:space="0" w:color="auto"/>
        <w:left w:val="none" w:sz="0" w:space="0" w:color="auto"/>
        <w:bottom w:val="none" w:sz="0" w:space="0" w:color="auto"/>
        <w:right w:val="none" w:sz="0" w:space="0" w:color="auto"/>
      </w:divBdr>
    </w:div>
    <w:div w:id="1348681014">
      <w:bodyDiv w:val="1"/>
      <w:marLeft w:val="0"/>
      <w:marRight w:val="0"/>
      <w:marTop w:val="0"/>
      <w:marBottom w:val="0"/>
      <w:divBdr>
        <w:top w:val="none" w:sz="0" w:space="0" w:color="auto"/>
        <w:left w:val="none" w:sz="0" w:space="0" w:color="auto"/>
        <w:bottom w:val="none" w:sz="0" w:space="0" w:color="auto"/>
        <w:right w:val="none" w:sz="0" w:space="0" w:color="auto"/>
      </w:divBdr>
    </w:div>
    <w:div w:id="1440955496">
      <w:bodyDiv w:val="1"/>
      <w:marLeft w:val="0"/>
      <w:marRight w:val="0"/>
      <w:marTop w:val="0"/>
      <w:marBottom w:val="0"/>
      <w:divBdr>
        <w:top w:val="none" w:sz="0" w:space="0" w:color="auto"/>
        <w:left w:val="none" w:sz="0" w:space="0" w:color="auto"/>
        <w:bottom w:val="none" w:sz="0" w:space="0" w:color="auto"/>
        <w:right w:val="none" w:sz="0" w:space="0" w:color="auto"/>
      </w:divBdr>
    </w:div>
    <w:div w:id="1565993092">
      <w:bodyDiv w:val="1"/>
      <w:marLeft w:val="0"/>
      <w:marRight w:val="0"/>
      <w:marTop w:val="0"/>
      <w:marBottom w:val="0"/>
      <w:divBdr>
        <w:top w:val="none" w:sz="0" w:space="0" w:color="auto"/>
        <w:left w:val="none" w:sz="0" w:space="0" w:color="auto"/>
        <w:bottom w:val="none" w:sz="0" w:space="0" w:color="auto"/>
        <w:right w:val="none" w:sz="0" w:space="0" w:color="auto"/>
      </w:divBdr>
    </w:div>
    <w:div w:id="1568490145">
      <w:bodyDiv w:val="1"/>
      <w:marLeft w:val="0"/>
      <w:marRight w:val="0"/>
      <w:marTop w:val="0"/>
      <w:marBottom w:val="0"/>
      <w:divBdr>
        <w:top w:val="none" w:sz="0" w:space="0" w:color="auto"/>
        <w:left w:val="none" w:sz="0" w:space="0" w:color="auto"/>
        <w:bottom w:val="none" w:sz="0" w:space="0" w:color="auto"/>
        <w:right w:val="none" w:sz="0" w:space="0" w:color="auto"/>
      </w:divBdr>
    </w:div>
    <w:div w:id="1609118759">
      <w:bodyDiv w:val="1"/>
      <w:marLeft w:val="0"/>
      <w:marRight w:val="0"/>
      <w:marTop w:val="0"/>
      <w:marBottom w:val="0"/>
      <w:divBdr>
        <w:top w:val="none" w:sz="0" w:space="0" w:color="auto"/>
        <w:left w:val="none" w:sz="0" w:space="0" w:color="auto"/>
        <w:bottom w:val="none" w:sz="0" w:space="0" w:color="auto"/>
        <w:right w:val="none" w:sz="0" w:space="0" w:color="auto"/>
      </w:divBdr>
    </w:div>
    <w:div w:id="1613439062">
      <w:bodyDiv w:val="1"/>
      <w:marLeft w:val="0"/>
      <w:marRight w:val="0"/>
      <w:marTop w:val="0"/>
      <w:marBottom w:val="0"/>
      <w:divBdr>
        <w:top w:val="none" w:sz="0" w:space="0" w:color="auto"/>
        <w:left w:val="none" w:sz="0" w:space="0" w:color="auto"/>
        <w:bottom w:val="none" w:sz="0" w:space="0" w:color="auto"/>
        <w:right w:val="none" w:sz="0" w:space="0" w:color="auto"/>
      </w:divBdr>
    </w:div>
    <w:div w:id="1735350322">
      <w:bodyDiv w:val="1"/>
      <w:marLeft w:val="0"/>
      <w:marRight w:val="0"/>
      <w:marTop w:val="0"/>
      <w:marBottom w:val="0"/>
      <w:divBdr>
        <w:top w:val="none" w:sz="0" w:space="0" w:color="auto"/>
        <w:left w:val="none" w:sz="0" w:space="0" w:color="auto"/>
        <w:bottom w:val="none" w:sz="0" w:space="0" w:color="auto"/>
        <w:right w:val="none" w:sz="0" w:space="0" w:color="auto"/>
      </w:divBdr>
    </w:div>
    <w:div w:id="1750228730">
      <w:bodyDiv w:val="1"/>
      <w:marLeft w:val="0"/>
      <w:marRight w:val="0"/>
      <w:marTop w:val="0"/>
      <w:marBottom w:val="0"/>
      <w:divBdr>
        <w:top w:val="none" w:sz="0" w:space="0" w:color="auto"/>
        <w:left w:val="none" w:sz="0" w:space="0" w:color="auto"/>
        <w:bottom w:val="none" w:sz="0" w:space="0" w:color="auto"/>
        <w:right w:val="none" w:sz="0" w:space="0" w:color="auto"/>
      </w:divBdr>
    </w:div>
    <w:div w:id="1837499244">
      <w:bodyDiv w:val="1"/>
      <w:marLeft w:val="0"/>
      <w:marRight w:val="0"/>
      <w:marTop w:val="0"/>
      <w:marBottom w:val="0"/>
      <w:divBdr>
        <w:top w:val="none" w:sz="0" w:space="0" w:color="auto"/>
        <w:left w:val="none" w:sz="0" w:space="0" w:color="auto"/>
        <w:bottom w:val="none" w:sz="0" w:space="0" w:color="auto"/>
        <w:right w:val="none" w:sz="0" w:space="0" w:color="auto"/>
      </w:divBdr>
    </w:div>
    <w:div w:id="1937515194">
      <w:bodyDiv w:val="1"/>
      <w:marLeft w:val="0"/>
      <w:marRight w:val="0"/>
      <w:marTop w:val="0"/>
      <w:marBottom w:val="0"/>
      <w:divBdr>
        <w:top w:val="none" w:sz="0" w:space="0" w:color="auto"/>
        <w:left w:val="none" w:sz="0" w:space="0" w:color="auto"/>
        <w:bottom w:val="none" w:sz="0" w:space="0" w:color="auto"/>
        <w:right w:val="none" w:sz="0" w:space="0" w:color="auto"/>
      </w:divBdr>
    </w:div>
    <w:div w:id="198269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79D9C-F33D-4CA5-B1BF-1D045DE44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3788</Words>
  <Characters>21594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Данияр Мансурович Расулов</dc:creator>
  <cp:lastModifiedBy>Рашид Джурабеков</cp:lastModifiedBy>
  <cp:revision>12</cp:revision>
  <cp:lastPrinted>2023-09-06T08:03:00Z</cp:lastPrinted>
  <dcterms:created xsi:type="dcterms:W3CDTF">2023-08-31T03:34:00Z</dcterms:created>
  <dcterms:modified xsi:type="dcterms:W3CDTF">2023-09-06T09:12:00Z</dcterms:modified>
</cp:coreProperties>
</file>